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9D" w:rsidRDefault="00854E9D" w:rsidP="00AF71C5">
      <w:pPr>
        <w:pStyle w:val="NoSpacing"/>
        <w:rPr>
          <w:rFonts w:ascii="Times New Roman" w:eastAsia="SimSun" w:hAnsi="Times New Roman" w:cs="Times New Roman"/>
          <w:sz w:val="56"/>
          <w:szCs w:val="56"/>
          <w:lang w:val="en-GB"/>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CoR-EN" style="width:125.25pt;height:58.5pt;visibility:visible">
            <v:imagedata r:id="rId7" o:title=""/>
          </v:shape>
        </w:pict>
      </w:r>
    </w:p>
    <w:p w:rsidR="00854E9D" w:rsidRDefault="00854E9D" w:rsidP="00AF71C5">
      <w:pPr>
        <w:pStyle w:val="NoSpacing"/>
        <w:jc w:val="center"/>
        <w:rPr>
          <w:rFonts w:ascii="Times New Roman" w:eastAsia="SimSun" w:hAnsi="Times New Roman" w:cs="Times New Roman"/>
          <w:sz w:val="56"/>
          <w:szCs w:val="56"/>
          <w:lang w:val="en-GB"/>
        </w:rPr>
      </w:pPr>
    </w:p>
    <w:p w:rsidR="00854E9D" w:rsidRDefault="00854E9D" w:rsidP="00AF71C5">
      <w:pPr>
        <w:pStyle w:val="NoSpacing"/>
        <w:jc w:val="center"/>
        <w:rPr>
          <w:rFonts w:ascii="Times New Roman" w:eastAsia="SimSun" w:hAnsi="Times New Roman" w:cs="Times New Roman"/>
          <w:sz w:val="56"/>
          <w:szCs w:val="56"/>
          <w:lang w:val="en-GB"/>
        </w:rPr>
      </w:pPr>
    </w:p>
    <w:p w:rsidR="00854E9D" w:rsidRDefault="00854E9D" w:rsidP="00AF71C5">
      <w:pPr>
        <w:pStyle w:val="NoSpacing"/>
        <w:jc w:val="center"/>
        <w:rPr>
          <w:rFonts w:ascii="Times New Roman" w:eastAsia="SimSun" w:hAnsi="Times New Roman" w:cs="Times New Roman"/>
          <w:sz w:val="56"/>
          <w:szCs w:val="56"/>
          <w:lang w:val="en-GB"/>
        </w:rPr>
      </w:pPr>
    </w:p>
    <w:p w:rsidR="00854E9D" w:rsidRDefault="00854E9D" w:rsidP="00AF71C5">
      <w:pPr>
        <w:pStyle w:val="NoSpacing"/>
        <w:jc w:val="center"/>
        <w:rPr>
          <w:rFonts w:ascii="Times New Roman" w:eastAsia="SimSun" w:hAnsi="Times New Roman" w:cs="Times New Roman"/>
          <w:sz w:val="56"/>
          <w:szCs w:val="56"/>
          <w:lang w:val="en-GB"/>
        </w:rPr>
      </w:pPr>
    </w:p>
    <w:p w:rsidR="00854E9D" w:rsidRDefault="00854E9D" w:rsidP="00AF71C5">
      <w:pPr>
        <w:pStyle w:val="NoSpacing"/>
        <w:jc w:val="center"/>
        <w:rPr>
          <w:rFonts w:ascii="Times New Roman" w:eastAsia="SimSun" w:hAnsi="Times New Roman" w:cs="Times New Roman"/>
          <w:sz w:val="56"/>
          <w:szCs w:val="56"/>
          <w:lang w:val="en-GB"/>
        </w:rPr>
      </w:pPr>
    </w:p>
    <w:p w:rsidR="00854E9D" w:rsidRDefault="00854E9D" w:rsidP="00AF71C5">
      <w:pPr>
        <w:pStyle w:val="NoSpacing"/>
        <w:jc w:val="center"/>
        <w:rPr>
          <w:rFonts w:ascii="Times New Roman" w:eastAsia="SimSun" w:hAnsi="Times New Roman" w:cs="Times New Roman"/>
          <w:sz w:val="56"/>
          <w:szCs w:val="56"/>
          <w:lang w:val="en-GB"/>
        </w:rPr>
      </w:pPr>
    </w:p>
    <w:p w:rsidR="00854E9D" w:rsidRDefault="00854E9D" w:rsidP="00AF71C5">
      <w:pPr>
        <w:pStyle w:val="NoSpacing"/>
        <w:jc w:val="center"/>
        <w:rPr>
          <w:rFonts w:ascii="Times New Roman" w:eastAsia="SimSun" w:hAnsi="Times New Roman" w:cs="Times New Roman"/>
          <w:sz w:val="56"/>
          <w:szCs w:val="56"/>
          <w:lang w:val="en-GB"/>
        </w:rPr>
      </w:pPr>
      <w:r w:rsidRPr="00E332EB">
        <w:rPr>
          <w:rFonts w:ascii="Times New Roman" w:eastAsia="SimSun" w:hAnsi="Times New Roman" w:cs="Times New Roman"/>
          <w:sz w:val="56"/>
          <w:szCs w:val="56"/>
          <w:lang w:val="en-GB"/>
        </w:rPr>
        <w:t>Revision of EU procurement legislation</w:t>
      </w:r>
    </w:p>
    <w:p w:rsidR="00854E9D" w:rsidRDefault="00854E9D" w:rsidP="00AF71C5">
      <w:pPr>
        <w:pStyle w:val="NoSpacing"/>
        <w:jc w:val="center"/>
        <w:rPr>
          <w:rFonts w:ascii="Times New Roman" w:eastAsia="SimSun" w:hAnsi="Times New Roman" w:cs="Times New Roman"/>
          <w:sz w:val="56"/>
          <w:szCs w:val="56"/>
          <w:lang w:val="en-GB"/>
        </w:rPr>
      </w:pPr>
    </w:p>
    <w:p w:rsidR="00854E9D" w:rsidRPr="009A6EC7" w:rsidRDefault="00854E9D" w:rsidP="00AF71C5">
      <w:pPr>
        <w:pStyle w:val="NoSpacing"/>
        <w:jc w:val="center"/>
        <w:rPr>
          <w:rFonts w:ascii="Times New Roman" w:eastAsia="SimSun" w:hAnsi="Times New Roman"/>
          <w:sz w:val="48"/>
          <w:szCs w:val="48"/>
          <w:lang w:val="en-GB"/>
        </w:rPr>
      </w:pPr>
      <w:r w:rsidRPr="009A6EC7">
        <w:rPr>
          <w:rFonts w:ascii="Times New Roman" w:eastAsia="SimSun" w:hAnsi="Times New Roman" w:cs="Times New Roman"/>
          <w:sz w:val="48"/>
          <w:szCs w:val="48"/>
          <w:lang w:val="en-GB"/>
        </w:rPr>
        <w:t>Matters of concern for Local and Regional Authorities and potential subsidiarity issues</w:t>
      </w:r>
    </w:p>
    <w:p w:rsidR="00854E9D" w:rsidRPr="00E332EB" w:rsidRDefault="00854E9D" w:rsidP="00CE7247">
      <w:pPr>
        <w:pStyle w:val="NoSpacing"/>
        <w:jc w:val="both"/>
        <w:rPr>
          <w:rFonts w:ascii="Times New Roman" w:eastAsia="SimSun" w:hAnsi="Times New Roman"/>
          <w:sz w:val="36"/>
          <w:szCs w:val="36"/>
          <w:lang w:val="en-GB"/>
        </w:rPr>
      </w:pPr>
    </w:p>
    <w:p w:rsidR="00854E9D" w:rsidRDefault="00854E9D" w:rsidP="00AF71C5">
      <w:pPr>
        <w:pStyle w:val="NormalWeb"/>
        <w:rPr>
          <w:rFonts w:ascii="Times New Roman" w:hAnsi="Times New Roman" w:cs="Times New Roman"/>
        </w:rPr>
      </w:pPr>
      <w:r>
        <w:rPr>
          <w:rFonts w:ascii="Times New Roman" w:hAnsi="Times New Roman" w:cs="Times New Roman"/>
        </w:rPr>
        <w:br w:type="page"/>
      </w:r>
    </w:p>
    <w:p w:rsidR="00854E9D" w:rsidRDefault="00854E9D" w:rsidP="00AF71C5">
      <w:pPr>
        <w:pStyle w:val="NormalWeb"/>
        <w:rPr>
          <w:rFonts w:ascii="Times New Roman" w:hAnsi="Times New Roman" w:cs="Times New Roman"/>
        </w:rPr>
      </w:pPr>
    </w:p>
    <w:p w:rsidR="00854E9D" w:rsidRDefault="00854E9D" w:rsidP="00AF71C5">
      <w:pPr>
        <w:pStyle w:val="NormalWeb"/>
        <w:rPr>
          <w:rFonts w:ascii="Times New Roman" w:hAnsi="Times New Roman" w:cs="Times New Roman"/>
        </w:rPr>
      </w:pPr>
    </w:p>
    <w:p w:rsidR="00854E9D" w:rsidRDefault="00854E9D" w:rsidP="00AF71C5">
      <w:pPr>
        <w:pStyle w:val="NormalWeb"/>
        <w:rPr>
          <w:rFonts w:ascii="Times New Roman" w:hAnsi="Times New Roman" w:cs="Times New Roman"/>
        </w:rPr>
      </w:pPr>
    </w:p>
    <w:p w:rsidR="00854E9D" w:rsidRDefault="00854E9D" w:rsidP="00AF71C5">
      <w:pPr>
        <w:pStyle w:val="NormalWeb"/>
        <w:rPr>
          <w:rFonts w:ascii="Times New Roman" w:hAnsi="Times New Roman" w:cs="Times New Roman"/>
        </w:rPr>
      </w:pPr>
    </w:p>
    <w:p w:rsidR="00854E9D" w:rsidRDefault="00854E9D" w:rsidP="00AF71C5">
      <w:pPr>
        <w:pStyle w:val="NormalWeb"/>
        <w:rPr>
          <w:rFonts w:ascii="Times New Roman" w:hAnsi="Times New Roman" w:cs="Times New Roman"/>
        </w:rPr>
      </w:pPr>
    </w:p>
    <w:p w:rsidR="00854E9D" w:rsidRPr="007B5BA5" w:rsidRDefault="00854E9D" w:rsidP="00AF71C5">
      <w:pPr>
        <w:pStyle w:val="NormalWeb"/>
        <w:rPr>
          <w:rStyle w:val="Chaptertitle"/>
        </w:rPr>
      </w:pPr>
    </w:p>
    <w:p w:rsidR="00854E9D" w:rsidRPr="007B5BA5" w:rsidRDefault="00854E9D" w:rsidP="00AF71C5">
      <w:pPr>
        <w:pBdr>
          <w:top w:val="single" w:sz="4" w:space="1" w:color="auto"/>
          <w:left w:val="single" w:sz="4" w:space="4" w:color="auto"/>
          <w:bottom w:val="single" w:sz="4" w:space="1" w:color="auto"/>
          <w:right w:val="single" w:sz="4" w:space="4" w:color="auto"/>
        </w:pBdr>
        <w:jc w:val="center"/>
        <w:rPr>
          <w:rFonts w:eastAsia="PMingLiU"/>
          <w:b/>
          <w:lang w:eastAsia="hu-HU"/>
        </w:rPr>
      </w:pPr>
    </w:p>
    <w:p w:rsidR="00854E9D" w:rsidRPr="00AF71C5" w:rsidRDefault="00854E9D" w:rsidP="00AF71C5">
      <w:pPr>
        <w:pBdr>
          <w:top w:val="single" w:sz="4" w:space="1" w:color="auto"/>
          <w:left w:val="single" w:sz="4" w:space="4" w:color="auto"/>
          <w:bottom w:val="single" w:sz="4" w:space="1" w:color="auto"/>
          <w:right w:val="single" w:sz="4" w:space="4" w:color="auto"/>
        </w:pBdr>
        <w:jc w:val="center"/>
        <w:rPr>
          <w:rFonts w:eastAsia="PMingLiU"/>
          <w:sz w:val="24"/>
          <w:szCs w:val="24"/>
          <w:lang w:eastAsia="zh-TW"/>
        </w:rPr>
      </w:pPr>
      <w:r w:rsidRPr="00AF71C5">
        <w:rPr>
          <w:rFonts w:eastAsia="PMingLiU"/>
          <w:b/>
          <w:sz w:val="24"/>
          <w:szCs w:val="24"/>
          <w:lang w:eastAsia="hu-HU"/>
        </w:rPr>
        <w:t>The report was written by</w:t>
      </w:r>
    </w:p>
    <w:p w:rsidR="00854E9D" w:rsidRPr="00AF71C5" w:rsidRDefault="00854E9D" w:rsidP="00AF71C5">
      <w:pPr>
        <w:pBdr>
          <w:top w:val="single" w:sz="4" w:space="1" w:color="auto"/>
          <w:left w:val="single" w:sz="4" w:space="4" w:color="auto"/>
          <w:bottom w:val="single" w:sz="4" w:space="1" w:color="auto"/>
          <w:right w:val="single" w:sz="4" w:space="4" w:color="auto"/>
        </w:pBdr>
        <w:jc w:val="center"/>
        <w:rPr>
          <w:rFonts w:eastAsia="PMingLiU"/>
          <w:b/>
          <w:sz w:val="24"/>
          <w:szCs w:val="24"/>
          <w:lang w:eastAsia="hu-HU"/>
        </w:rPr>
      </w:pPr>
      <w:r w:rsidRPr="00AF71C5">
        <w:rPr>
          <w:rFonts w:eastAsia="PMingLiU"/>
          <w:b/>
          <w:sz w:val="24"/>
          <w:szCs w:val="24"/>
          <w:lang w:eastAsia="hu-HU"/>
        </w:rPr>
        <w:t>t33 Srl and OIR</w:t>
      </w:r>
    </w:p>
    <w:p w:rsidR="00854E9D" w:rsidRPr="00AF71C5" w:rsidRDefault="00854E9D" w:rsidP="00AF71C5">
      <w:pPr>
        <w:pBdr>
          <w:top w:val="single" w:sz="4" w:space="1" w:color="auto"/>
          <w:left w:val="single" w:sz="4" w:space="4" w:color="auto"/>
          <w:bottom w:val="single" w:sz="4" w:space="1" w:color="auto"/>
          <w:right w:val="single" w:sz="4" w:space="4" w:color="auto"/>
        </w:pBdr>
        <w:jc w:val="center"/>
        <w:rPr>
          <w:rFonts w:eastAsia="PMingLiU"/>
          <w:b/>
          <w:sz w:val="24"/>
          <w:szCs w:val="24"/>
          <w:lang w:eastAsia="hu-HU"/>
        </w:rPr>
      </w:pPr>
      <w:r w:rsidRPr="00AF71C5">
        <w:rPr>
          <w:rFonts w:eastAsia="PMingLiU"/>
          <w:b/>
          <w:sz w:val="24"/>
          <w:szCs w:val="24"/>
          <w:lang w:eastAsia="hu-HU"/>
        </w:rPr>
        <w:t>It does not represent the official views of the Committee of the Regions.</w:t>
      </w:r>
    </w:p>
    <w:p w:rsidR="00854E9D" w:rsidRPr="00AF71C5" w:rsidRDefault="00854E9D" w:rsidP="00AF71C5">
      <w:pPr>
        <w:pBdr>
          <w:top w:val="single" w:sz="4" w:space="1" w:color="auto"/>
          <w:left w:val="single" w:sz="4" w:space="4" w:color="auto"/>
          <w:bottom w:val="single" w:sz="4" w:space="1" w:color="auto"/>
          <w:right w:val="single" w:sz="4" w:space="4" w:color="auto"/>
        </w:pBdr>
        <w:jc w:val="center"/>
        <w:rPr>
          <w:rFonts w:eastAsia="PMingLiU"/>
          <w:b/>
          <w:sz w:val="24"/>
          <w:szCs w:val="24"/>
          <w:lang w:eastAsia="hu-HU"/>
        </w:rPr>
      </w:pPr>
    </w:p>
    <w:p w:rsidR="00854E9D" w:rsidRPr="007B5BA5" w:rsidRDefault="00854E9D" w:rsidP="00AF71C5"/>
    <w:p w:rsidR="00854E9D" w:rsidRDefault="00854E9D" w:rsidP="00C23BFB">
      <w:pPr>
        <w:spacing w:line="276" w:lineRule="auto"/>
      </w:pPr>
    </w:p>
    <w:p w:rsidR="00854E9D" w:rsidRPr="007B5BA5" w:rsidRDefault="00854E9D" w:rsidP="00AF71C5"/>
    <w:p w:rsidR="00854E9D" w:rsidRPr="007B5BA5" w:rsidRDefault="00854E9D" w:rsidP="00AF71C5"/>
    <w:p w:rsidR="00854E9D" w:rsidRPr="00AF71C5" w:rsidRDefault="00854E9D" w:rsidP="00AF71C5">
      <w:pPr>
        <w:rPr>
          <w:sz w:val="24"/>
          <w:szCs w:val="24"/>
          <w:lang w:eastAsia="hu-HU"/>
        </w:rPr>
      </w:pPr>
      <w:r w:rsidRPr="00AF71C5">
        <w:rPr>
          <w:sz w:val="24"/>
          <w:szCs w:val="24"/>
          <w:lang w:eastAsia="hu-HU"/>
        </w:rPr>
        <w:t xml:space="preserve">More information on the European Union and the Committee of the Regions is available on the internet through </w:t>
      </w:r>
      <w:hyperlink r:id="rId8" w:history="1">
        <w:r w:rsidRPr="00AF71C5">
          <w:rPr>
            <w:rStyle w:val="Hyperlink"/>
            <w:sz w:val="24"/>
            <w:szCs w:val="24"/>
            <w:lang w:eastAsia="hu-HU"/>
          </w:rPr>
          <w:t>http://www.europa.eu</w:t>
        </w:r>
      </w:hyperlink>
      <w:r w:rsidRPr="00AF71C5">
        <w:rPr>
          <w:sz w:val="24"/>
          <w:szCs w:val="24"/>
          <w:lang w:eastAsia="hu-HU"/>
        </w:rPr>
        <w:t xml:space="preserve"> and </w:t>
      </w:r>
      <w:hyperlink r:id="rId9" w:history="1">
        <w:r w:rsidRPr="00AF71C5">
          <w:rPr>
            <w:rStyle w:val="Hyperlink"/>
            <w:sz w:val="24"/>
            <w:szCs w:val="24"/>
            <w:lang w:eastAsia="hu-HU"/>
          </w:rPr>
          <w:t>http://www.cor.europa.eu</w:t>
        </w:r>
      </w:hyperlink>
      <w:r w:rsidRPr="00AF71C5">
        <w:rPr>
          <w:sz w:val="24"/>
          <w:szCs w:val="24"/>
          <w:lang w:eastAsia="hu-HU"/>
        </w:rPr>
        <w:t xml:space="preserve"> respectively.</w:t>
      </w:r>
    </w:p>
    <w:p w:rsidR="00854E9D" w:rsidRPr="00AF71C5" w:rsidRDefault="00854E9D" w:rsidP="00AF71C5">
      <w:pPr>
        <w:spacing w:after="120"/>
        <w:rPr>
          <w:sz w:val="24"/>
          <w:szCs w:val="24"/>
        </w:rPr>
      </w:pPr>
    </w:p>
    <w:p w:rsidR="00854E9D" w:rsidRPr="00AF71C5" w:rsidRDefault="00854E9D" w:rsidP="00AF71C5">
      <w:pPr>
        <w:rPr>
          <w:sz w:val="24"/>
          <w:szCs w:val="24"/>
        </w:rPr>
      </w:pPr>
    </w:p>
    <w:p w:rsidR="00854E9D" w:rsidRPr="00AF71C5" w:rsidRDefault="00854E9D" w:rsidP="00AF71C5">
      <w:pPr>
        <w:rPr>
          <w:sz w:val="24"/>
          <w:szCs w:val="24"/>
        </w:rPr>
      </w:pPr>
    </w:p>
    <w:p w:rsidR="00854E9D" w:rsidRPr="00AF71C5" w:rsidRDefault="00854E9D" w:rsidP="00AF71C5">
      <w:pPr>
        <w:rPr>
          <w:sz w:val="24"/>
          <w:szCs w:val="24"/>
        </w:rPr>
      </w:pPr>
    </w:p>
    <w:p w:rsidR="00854E9D" w:rsidRPr="00AF71C5" w:rsidRDefault="00854E9D" w:rsidP="00AF71C5">
      <w:pPr>
        <w:rPr>
          <w:sz w:val="24"/>
          <w:szCs w:val="24"/>
        </w:rPr>
      </w:pPr>
    </w:p>
    <w:p w:rsidR="00854E9D" w:rsidRPr="00AF71C5" w:rsidRDefault="00854E9D" w:rsidP="00AF71C5">
      <w:pPr>
        <w:rPr>
          <w:sz w:val="24"/>
          <w:szCs w:val="24"/>
        </w:rPr>
      </w:pPr>
    </w:p>
    <w:p w:rsidR="00854E9D" w:rsidRPr="00AF71C5" w:rsidRDefault="00854E9D" w:rsidP="00AF71C5">
      <w:pPr>
        <w:rPr>
          <w:sz w:val="24"/>
          <w:szCs w:val="24"/>
          <w:lang w:eastAsia="hu-HU"/>
        </w:rPr>
      </w:pPr>
      <w:r w:rsidRPr="00AF71C5">
        <w:rPr>
          <w:sz w:val="24"/>
          <w:szCs w:val="24"/>
          <w:lang w:eastAsia="hu-HU"/>
        </w:rPr>
        <w:t>© European Union, 2011</w:t>
      </w:r>
    </w:p>
    <w:p w:rsidR="00854E9D" w:rsidRPr="00AF71C5" w:rsidRDefault="00854E9D" w:rsidP="00AF71C5">
      <w:pPr>
        <w:rPr>
          <w:sz w:val="24"/>
          <w:szCs w:val="24"/>
          <w:lang w:eastAsia="hu-HU"/>
        </w:rPr>
      </w:pPr>
      <w:r w:rsidRPr="00AF71C5">
        <w:rPr>
          <w:sz w:val="24"/>
          <w:szCs w:val="24"/>
          <w:lang w:eastAsia="hu-HU"/>
        </w:rPr>
        <w:t>Partial reproduction is allowed, provided that the source is explicitly mentioned.</w:t>
      </w:r>
    </w:p>
    <w:p w:rsidR="00854E9D" w:rsidRPr="00AF71C5" w:rsidRDefault="00854E9D" w:rsidP="00AF71C5">
      <w:pPr>
        <w:rPr>
          <w:b/>
          <w:sz w:val="24"/>
          <w:szCs w:val="24"/>
        </w:rPr>
        <w:sectPr w:rsidR="00854E9D" w:rsidRPr="00AF71C5" w:rsidSect="00AA5A8F">
          <w:footerReference w:type="even" r:id="rId10"/>
          <w:footerReference w:type="default" r:id="rId11"/>
          <w:footerReference w:type="first" r:id="rId12"/>
          <w:pgSz w:w="11906" w:h="16838" w:code="9"/>
          <w:pgMar w:top="1418" w:right="1418" w:bottom="1418" w:left="1418" w:header="567" w:footer="567" w:gutter="0"/>
          <w:cols w:space="708"/>
          <w:titlePg/>
          <w:docGrid w:linePitch="360"/>
        </w:sectPr>
      </w:pPr>
    </w:p>
    <w:p w:rsidR="00854E9D" w:rsidRPr="00BF002C" w:rsidRDefault="00854E9D" w:rsidP="00770904"/>
    <w:p w:rsidR="00854E9D" w:rsidRPr="00E332EB" w:rsidRDefault="00854E9D" w:rsidP="00770904">
      <w:pPr>
        <w:pStyle w:val="TOCHeading"/>
      </w:pPr>
      <w:r>
        <w:t>Table</w:t>
      </w:r>
      <w:r w:rsidRPr="00E332EB">
        <w:t xml:space="preserve"> of Contents</w:t>
      </w:r>
    </w:p>
    <w:p w:rsidR="00854E9D" w:rsidRDefault="00854E9D" w:rsidP="00770904">
      <w:pPr>
        <w:pStyle w:val="TOC1"/>
        <w:tabs>
          <w:tab w:val="left" w:pos="480"/>
        </w:tabs>
        <w:rPr>
          <w:rFonts w:ascii="Calibri" w:eastAsia="SimSun" w:hAnsi="Calibri"/>
          <w:b w:val="0"/>
          <w:bCs w:val="0"/>
          <w:caps w:val="0"/>
          <w:sz w:val="24"/>
          <w:szCs w:val="24"/>
          <w:lang w:val="it-IT"/>
        </w:rPr>
      </w:pPr>
      <w:r w:rsidRPr="00403F07">
        <w:rPr>
          <w:b w:val="0"/>
          <w:bCs w:val="0"/>
          <w:caps w:val="0"/>
        </w:rPr>
        <w:fldChar w:fldCharType="begin"/>
      </w:r>
      <w:r w:rsidRPr="00403F07">
        <w:rPr>
          <w:b w:val="0"/>
          <w:bCs w:val="0"/>
          <w:caps w:val="0"/>
        </w:rPr>
        <w:instrText xml:space="preserve"> TOC </w:instrText>
      </w:r>
      <w:r w:rsidRPr="00C6046D">
        <w:rPr>
          <w:b w:val="0"/>
          <w:bCs w:val="0"/>
          <w:caps w:val="0"/>
        </w:rPr>
        <w:instrText>\</w:instrText>
      </w:r>
      <w:r w:rsidRPr="00403F07">
        <w:rPr>
          <w:b w:val="0"/>
          <w:bCs w:val="0"/>
          <w:caps w:val="0"/>
        </w:rPr>
        <w:instrText xml:space="preserve">o "1-2" </w:instrText>
      </w:r>
      <w:r w:rsidRPr="00C6046D">
        <w:rPr>
          <w:b w:val="0"/>
          <w:bCs w:val="0"/>
          <w:caps w:val="0"/>
        </w:rPr>
        <w:instrText>\</w:instrText>
      </w:r>
      <w:r w:rsidRPr="00403F07">
        <w:rPr>
          <w:b w:val="0"/>
          <w:bCs w:val="0"/>
          <w:caps w:val="0"/>
        </w:rPr>
        <w:instrText xml:space="preserve">h </w:instrText>
      </w:r>
      <w:r w:rsidRPr="00C6046D">
        <w:rPr>
          <w:b w:val="0"/>
          <w:bCs w:val="0"/>
          <w:caps w:val="0"/>
        </w:rPr>
        <w:instrText>\</w:instrText>
      </w:r>
      <w:r w:rsidRPr="00403F07">
        <w:rPr>
          <w:b w:val="0"/>
          <w:bCs w:val="0"/>
          <w:caps w:val="0"/>
        </w:rPr>
        <w:instrText xml:space="preserve">z </w:instrText>
      </w:r>
      <w:r w:rsidRPr="00C6046D">
        <w:rPr>
          <w:b w:val="0"/>
          <w:bCs w:val="0"/>
          <w:caps w:val="0"/>
        </w:rPr>
        <w:instrText>\</w:instrText>
      </w:r>
      <w:r w:rsidRPr="00403F07">
        <w:rPr>
          <w:b w:val="0"/>
          <w:bCs w:val="0"/>
          <w:caps w:val="0"/>
        </w:rPr>
        <w:instrText xml:space="preserve">u </w:instrText>
      </w:r>
      <w:r w:rsidRPr="00403F07">
        <w:rPr>
          <w:b w:val="0"/>
          <w:bCs w:val="0"/>
          <w:caps w:val="0"/>
        </w:rPr>
        <w:fldChar w:fldCharType="separate"/>
      </w:r>
      <w:r>
        <w:t>1.</w:t>
      </w:r>
      <w:r>
        <w:rPr>
          <w:rFonts w:ascii="Calibri" w:eastAsia="SimSun" w:hAnsi="Calibri"/>
          <w:b w:val="0"/>
          <w:bCs w:val="0"/>
          <w:caps w:val="0"/>
          <w:sz w:val="24"/>
          <w:szCs w:val="24"/>
          <w:lang w:val="it-IT"/>
        </w:rPr>
        <w:tab/>
      </w:r>
      <w:r>
        <w:t>INTRODUCTION AND MAIN FINDINGS</w:t>
      </w:r>
      <w:r>
        <w:tab/>
      </w:r>
      <w:r>
        <w:fldChar w:fldCharType="begin"/>
      </w:r>
      <w:r>
        <w:instrText xml:space="preserve"> PAGEREF _Toc189650445 \h </w:instrText>
      </w:r>
      <w:r>
        <w:fldChar w:fldCharType="separate"/>
      </w:r>
      <w:r>
        <w:t>3</w:t>
      </w:r>
      <w:r>
        <w:fldChar w:fldCharType="end"/>
      </w:r>
    </w:p>
    <w:p w:rsidR="00854E9D" w:rsidRDefault="00854E9D" w:rsidP="00770904">
      <w:pPr>
        <w:pStyle w:val="TOC2"/>
        <w:rPr>
          <w:rFonts w:ascii="Calibri" w:eastAsia="SimSun" w:hAnsi="Calibri"/>
          <w:sz w:val="24"/>
          <w:szCs w:val="24"/>
          <w:lang w:val="it-IT"/>
        </w:rPr>
      </w:pPr>
      <w:r>
        <w:t>1.1   Facts and Figures</w:t>
      </w:r>
      <w:r>
        <w:tab/>
      </w:r>
      <w:r>
        <w:fldChar w:fldCharType="begin"/>
      </w:r>
      <w:r>
        <w:instrText xml:space="preserve"> PAGEREF _Toc189650446 \h </w:instrText>
      </w:r>
      <w:r>
        <w:fldChar w:fldCharType="separate"/>
      </w:r>
      <w:r>
        <w:t>3</w:t>
      </w:r>
      <w:r>
        <w:fldChar w:fldCharType="end"/>
      </w:r>
    </w:p>
    <w:p w:rsidR="00854E9D" w:rsidRDefault="00854E9D" w:rsidP="00770904">
      <w:pPr>
        <w:pStyle w:val="TOC1"/>
        <w:tabs>
          <w:tab w:val="left" w:pos="480"/>
        </w:tabs>
        <w:rPr>
          <w:rFonts w:ascii="Calibri" w:eastAsia="SimSun" w:hAnsi="Calibri"/>
          <w:b w:val="0"/>
          <w:bCs w:val="0"/>
          <w:caps w:val="0"/>
          <w:sz w:val="24"/>
          <w:szCs w:val="24"/>
          <w:lang w:val="it-IT"/>
        </w:rPr>
      </w:pPr>
      <w:r>
        <w:t>2.</w:t>
      </w:r>
      <w:r>
        <w:rPr>
          <w:rFonts w:ascii="Calibri" w:eastAsia="SimSun" w:hAnsi="Calibri"/>
          <w:b w:val="0"/>
          <w:bCs w:val="0"/>
          <w:caps w:val="0"/>
          <w:sz w:val="24"/>
          <w:szCs w:val="24"/>
          <w:lang w:val="it-IT"/>
        </w:rPr>
        <w:tab/>
      </w:r>
      <w:r>
        <w:t>Rationale for Revision</w:t>
      </w:r>
      <w:r>
        <w:tab/>
      </w:r>
      <w:r>
        <w:fldChar w:fldCharType="begin"/>
      </w:r>
      <w:r>
        <w:instrText xml:space="preserve"> PAGEREF _Toc189650447 \h </w:instrText>
      </w:r>
      <w:r>
        <w:fldChar w:fldCharType="separate"/>
      </w:r>
      <w:r>
        <w:t>3</w:t>
      </w:r>
      <w:r>
        <w:fldChar w:fldCharType="end"/>
      </w:r>
    </w:p>
    <w:p w:rsidR="00854E9D" w:rsidRDefault="00854E9D" w:rsidP="00770904">
      <w:pPr>
        <w:pStyle w:val="TOC2"/>
        <w:rPr>
          <w:rFonts w:ascii="Calibri" w:eastAsia="SimSun" w:hAnsi="Calibri"/>
          <w:sz w:val="24"/>
          <w:szCs w:val="24"/>
          <w:lang w:val="it-IT"/>
        </w:rPr>
      </w:pPr>
      <w:r>
        <w:t>2.1   Weaknesses of current legislation</w:t>
      </w:r>
      <w:r>
        <w:tab/>
      </w:r>
      <w:r>
        <w:fldChar w:fldCharType="begin"/>
      </w:r>
      <w:r>
        <w:instrText xml:space="preserve"> PAGEREF _Toc189650448 \h </w:instrText>
      </w:r>
      <w:r>
        <w:fldChar w:fldCharType="separate"/>
      </w:r>
      <w:r>
        <w:t>3</w:t>
      </w:r>
      <w:r>
        <w:fldChar w:fldCharType="end"/>
      </w:r>
    </w:p>
    <w:p w:rsidR="00854E9D" w:rsidRDefault="00854E9D" w:rsidP="00770904">
      <w:pPr>
        <w:pStyle w:val="TOC2"/>
        <w:rPr>
          <w:rFonts w:ascii="Calibri" w:eastAsia="SimSun" w:hAnsi="Calibri"/>
          <w:sz w:val="24"/>
          <w:szCs w:val="24"/>
          <w:lang w:val="it-IT"/>
        </w:rPr>
      </w:pPr>
      <w:r>
        <w:t>2.2   Stakeholders’ demands</w:t>
      </w:r>
      <w:r>
        <w:tab/>
      </w:r>
      <w:r>
        <w:fldChar w:fldCharType="begin"/>
      </w:r>
      <w:r>
        <w:instrText xml:space="preserve"> PAGEREF _Toc189650449 \h </w:instrText>
      </w:r>
      <w:r>
        <w:fldChar w:fldCharType="separate"/>
      </w:r>
      <w:r>
        <w:t>3</w:t>
      </w:r>
      <w:r>
        <w:fldChar w:fldCharType="end"/>
      </w:r>
    </w:p>
    <w:p w:rsidR="00854E9D" w:rsidRDefault="00854E9D" w:rsidP="00770904">
      <w:pPr>
        <w:pStyle w:val="TOC1"/>
        <w:tabs>
          <w:tab w:val="left" w:pos="480"/>
        </w:tabs>
        <w:rPr>
          <w:rFonts w:ascii="Calibri" w:eastAsia="SimSun" w:hAnsi="Calibri"/>
          <w:b w:val="0"/>
          <w:bCs w:val="0"/>
          <w:caps w:val="0"/>
          <w:sz w:val="24"/>
          <w:szCs w:val="24"/>
          <w:lang w:val="it-IT"/>
        </w:rPr>
      </w:pPr>
      <w:r>
        <w:t>3.</w:t>
      </w:r>
      <w:r>
        <w:rPr>
          <w:rFonts w:ascii="Calibri" w:eastAsia="SimSun" w:hAnsi="Calibri"/>
          <w:b w:val="0"/>
          <w:bCs w:val="0"/>
          <w:caps w:val="0"/>
          <w:sz w:val="24"/>
          <w:szCs w:val="24"/>
          <w:lang w:val="it-IT"/>
        </w:rPr>
        <w:tab/>
      </w:r>
      <w:r>
        <w:t>From the regional and local perspective</w:t>
      </w:r>
      <w:r>
        <w:tab/>
      </w:r>
      <w:r>
        <w:fldChar w:fldCharType="begin"/>
      </w:r>
      <w:r>
        <w:instrText xml:space="preserve"> PAGEREF _Toc189650450 \h </w:instrText>
      </w:r>
      <w:r>
        <w:fldChar w:fldCharType="separate"/>
      </w:r>
      <w:r>
        <w:t>3</w:t>
      </w:r>
      <w:r>
        <w:fldChar w:fldCharType="end"/>
      </w:r>
    </w:p>
    <w:p w:rsidR="00854E9D" w:rsidRDefault="00854E9D" w:rsidP="00770904">
      <w:pPr>
        <w:pStyle w:val="TOC2"/>
        <w:rPr>
          <w:rFonts w:ascii="Calibri" w:eastAsia="SimSun" w:hAnsi="Calibri"/>
          <w:sz w:val="24"/>
          <w:szCs w:val="24"/>
          <w:lang w:val="it-IT"/>
        </w:rPr>
      </w:pPr>
      <w:r>
        <w:t>3.1   Aspects of the proposals that could be seen positively by LRAs</w:t>
      </w:r>
      <w:r>
        <w:tab/>
      </w:r>
      <w:r>
        <w:fldChar w:fldCharType="begin"/>
      </w:r>
      <w:r>
        <w:instrText xml:space="preserve"> PAGEREF _Toc189650451 \h </w:instrText>
      </w:r>
      <w:r>
        <w:fldChar w:fldCharType="separate"/>
      </w:r>
      <w:r>
        <w:t>3</w:t>
      </w:r>
      <w:r>
        <w:fldChar w:fldCharType="end"/>
      </w:r>
    </w:p>
    <w:p w:rsidR="00854E9D" w:rsidRDefault="00854E9D" w:rsidP="00770904">
      <w:pPr>
        <w:pStyle w:val="TOC2"/>
        <w:rPr>
          <w:rFonts w:ascii="Calibri" w:eastAsia="SimSun" w:hAnsi="Calibri"/>
          <w:sz w:val="24"/>
          <w:szCs w:val="24"/>
          <w:lang w:val="it-IT"/>
        </w:rPr>
      </w:pPr>
      <w:r>
        <w:t>3.2   Aspects of the proposals that could be seen as negative by LRAs</w:t>
      </w:r>
      <w:r>
        <w:tab/>
      </w:r>
      <w:r>
        <w:fldChar w:fldCharType="begin"/>
      </w:r>
      <w:r>
        <w:instrText xml:space="preserve"> PAGEREF _Toc189650452 \h </w:instrText>
      </w:r>
      <w:r>
        <w:fldChar w:fldCharType="separate"/>
      </w:r>
      <w:r>
        <w:t>3</w:t>
      </w:r>
      <w:r>
        <w:fldChar w:fldCharType="end"/>
      </w:r>
    </w:p>
    <w:p w:rsidR="00854E9D" w:rsidRDefault="00854E9D" w:rsidP="00770904">
      <w:pPr>
        <w:pStyle w:val="TOC1"/>
        <w:tabs>
          <w:tab w:val="left" w:pos="480"/>
        </w:tabs>
        <w:rPr>
          <w:rFonts w:ascii="Calibri" w:eastAsia="SimSun" w:hAnsi="Calibri"/>
          <w:b w:val="0"/>
          <w:bCs w:val="0"/>
          <w:caps w:val="0"/>
          <w:sz w:val="24"/>
          <w:szCs w:val="24"/>
          <w:lang w:val="it-IT"/>
        </w:rPr>
      </w:pPr>
      <w:r>
        <w:t>4.</w:t>
      </w:r>
      <w:r>
        <w:rPr>
          <w:rFonts w:ascii="Calibri" w:eastAsia="SimSun" w:hAnsi="Calibri"/>
          <w:b w:val="0"/>
          <w:bCs w:val="0"/>
          <w:caps w:val="0"/>
          <w:sz w:val="24"/>
          <w:szCs w:val="24"/>
          <w:lang w:val="it-IT"/>
        </w:rPr>
        <w:tab/>
      </w:r>
      <w:r w:rsidRPr="001A67FD">
        <w:rPr>
          <w:bCs w:val="0"/>
        </w:rPr>
        <w:t>Subsidiarity and Proportionality</w:t>
      </w:r>
      <w:r>
        <w:tab/>
      </w:r>
      <w:r>
        <w:fldChar w:fldCharType="begin"/>
      </w:r>
      <w:r>
        <w:instrText xml:space="preserve"> PAGEREF _Toc189650453 \h </w:instrText>
      </w:r>
      <w:r>
        <w:fldChar w:fldCharType="separate"/>
      </w:r>
      <w:r>
        <w:t>3</w:t>
      </w:r>
      <w:r>
        <w:fldChar w:fldCharType="end"/>
      </w:r>
    </w:p>
    <w:p w:rsidR="00854E9D" w:rsidRDefault="00854E9D" w:rsidP="00770904">
      <w:pPr>
        <w:pStyle w:val="TOC2"/>
        <w:rPr>
          <w:rFonts w:ascii="Calibri" w:eastAsia="SimSun" w:hAnsi="Calibri"/>
          <w:sz w:val="24"/>
          <w:szCs w:val="24"/>
          <w:lang w:val="it-IT"/>
        </w:rPr>
      </w:pPr>
      <w:r>
        <w:t>4.1   Type of Competence / Legal Basis</w:t>
      </w:r>
      <w:r>
        <w:tab/>
      </w:r>
      <w:r>
        <w:fldChar w:fldCharType="begin"/>
      </w:r>
      <w:r>
        <w:instrText xml:space="preserve"> PAGEREF _Toc189650454 \h </w:instrText>
      </w:r>
      <w:r>
        <w:fldChar w:fldCharType="separate"/>
      </w:r>
      <w:r>
        <w:t>3</w:t>
      </w:r>
      <w:r>
        <w:fldChar w:fldCharType="end"/>
      </w:r>
    </w:p>
    <w:p w:rsidR="00854E9D" w:rsidRDefault="00854E9D" w:rsidP="00770904">
      <w:pPr>
        <w:pStyle w:val="TOC2"/>
        <w:rPr>
          <w:rFonts w:ascii="Calibri" w:eastAsia="SimSun" w:hAnsi="Calibri"/>
          <w:sz w:val="24"/>
          <w:szCs w:val="24"/>
          <w:lang w:val="it-IT"/>
        </w:rPr>
      </w:pPr>
      <w:r>
        <w:t>4.2   Subsidiarity – ‘Should the EU act?’</w:t>
      </w:r>
      <w:r>
        <w:tab/>
      </w:r>
      <w:r>
        <w:fldChar w:fldCharType="begin"/>
      </w:r>
      <w:r>
        <w:instrText xml:space="preserve"> PAGEREF _Toc189650455 \h </w:instrText>
      </w:r>
      <w:r>
        <w:fldChar w:fldCharType="separate"/>
      </w:r>
      <w:r>
        <w:t>3</w:t>
      </w:r>
      <w:r>
        <w:fldChar w:fldCharType="end"/>
      </w:r>
    </w:p>
    <w:p w:rsidR="00854E9D" w:rsidRDefault="00854E9D" w:rsidP="00770904">
      <w:pPr>
        <w:pStyle w:val="TOC2"/>
        <w:rPr>
          <w:rFonts w:ascii="Calibri" w:eastAsia="SimSun" w:hAnsi="Calibri"/>
          <w:sz w:val="24"/>
          <w:szCs w:val="24"/>
          <w:lang w:val="it-IT"/>
        </w:rPr>
      </w:pPr>
      <w:r>
        <w:t>4.3   Subsidiarity issues</w:t>
      </w:r>
      <w:r>
        <w:tab/>
      </w:r>
      <w:r>
        <w:fldChar w:fldCharType="begin"/>
      </w:r>
      <w:r>
        <w:instrText xml:space="preserve"> PAGEREF _Toc189650456 \h </w:instrText>
      </w:r>
      <w:r>
        <w:fldChar w:fldCharType="separate"/>
      </w:r>
      <w:r>
        <w:t>3</w:t>
      </w:r>
      <w:r>
        <w:fldChar w:fldCharType="end"/>
      </w:r>
    </w:p>
    <w:p w:rsidR="00854E9D" w:rsidRDefault="00854E9D" w:rsidP="00770904">
      <w:pPr>
        <w:pStyle w:val="TOC2"/>
        <w:rPr>
          <w:rFonts w:ascii="Calibri" w:eastAsia="SimSun" w:hAnsi="Calibri"/>
          <w:sz w:val="24"/>
          <w:szCs w:val="24"/>
          <w:lang w:val="it-IT"/>
        </w:rPr>
      </w:pPr>
      <w:r>
        <w:t>4.4   Proportionality – ‘How should the EU act?</w:t>
      </w:r>
      <w:r w:rsidRPr="001A67FD">
        <w:t>’</w:t>
      </w:r>
      <w:r>
        <w:tab/>
      </w:r>
      <w:r>
        <w:fldChar w:fldCharType="begin"/>
      </w:r>
      <w:r>
        <w:instrText xml:space="preserve"> PAGEREF _Toc189650457 \h </w:instrText>
      </w:r>
      <w:r>
        <w:fldChar w:fldCharType="separate"/>
      </w:r>
      <w:r>
        <w:t>3</w:t>
      </w:r>
      <w:r>
        <w:fldChar w:fldCharType="end"/>
      </w:r>
    </w:p>
    <w:p w:rsidR="00854E9D" w:rsidRDefault="00854E9D" w:rsidP="00770904">
      <w:pPr>
        <w:pStyle w:val="TOC2"/>
        <w:rPr>
          <w:rFonts w:ascii="Calibri" w:eastAsia="SimSun" w:hAnsi="Calibri"/>
          <w:sz w:val="24"/>
          <w:szCs w:val="24"/>
          <w:lang w:val="it-IT"/>
        </w:rPr>
      </w:pPr>
      <w:r>
        <w:t>4.5   Proportionality issues</w:t>
      </w:r>
      <w:r>
        <w:tab/>
      </w:r>
      <w:r>
        <w:fldChar w:fldCharType="begin"/>
      </w:r>
      <w:r>
        <w:instrText xml:space="preserve"> PAGEREF _Toc189650458 \h </w:instrText>
      </w:r>
      <w:r>
        <w:fldChar w:fldCharType="separate"/>
      </w:r>
      <w:r>
        <w:t>3</w:t>
      </w:r>
      <w:r>
        <w:fldChar w:fldCharType="end"/>
      </w:r>
    </w:p>
    <w:p w:rsidR="00854E9D" w:rsidRDefault="00854E9D" w:rsidP="00770904">
      <w:pPr>
        <w:pStyle w:val="TOC2"/>
        <w:rPr>
          <w:rFonts w:ascii="Calibri" w:eastAsia="SimSun" w:hAnsi="Calibri"/>
          <w:sz w:val="24"/>
          <w:szCs w:val="24"/>
          <w:lang w:val="it-IT"/>
        </w:rPr>
      </w:pPr>
      <w:r>
        <w:t>4.6   Better Lawmaking</w:t>
      </w:r>
      <w:r>
        <w:tab/>
      </w:r>
      <w:r>
        <w:fldChar w:fldCharType="begin"/>
      </w:r>
      <w:r>
        <w:instrText xml:space="preserve"> PAGEREF _Toc189650459 \h </w:instrText>
      </w:r>
      <w:r>
        <w:fldChar w:fldCharType="separate"/>
      </w:r>
      <w:r>
        <w:t>3</w:t>
      </w:r>
      <w:r>
        <w:fldChar w:fldCharType="end"/>
      </w:r>
    </w:p>
    <w:p w:rsidR="00854E9D" w:rsidRDefault="00854E9D" w:rsidP="00770904">
      <w:pPr>
        <w:pStyle w:val="TOC1"/>
        <w:tabs>
          <w:tab w:val="left" w:pos="480"/>
        </w:tabs>
        <w:rPr>
          <w:rFonts w:ascii="Calibri" w:eastAsia="SimSun" w:hAnsi="Calibri"/>
          <w:b w:val="0"/>
          <w:bCs w:val="0"/>
          <w:caps w:val="0"/>
          <w:sz w:val="24"/>
          <w:szCs w:val="24"/>
          <w:lang w:val="it-IT"/>
        </w:rPr>
      </w:pPr>
      <w:r>
        <w:t>5.</w:t>
      </w:r>
      <w:r>
        <w:rPr>
          <w:rFonts w:ascii="Calibri" w:eastAsia="SimSun" w:hAnsi="Calibri"/>
          <w:b w:val="0"/>
          <w:bCs w:val="0"/>
          <w:caps w:val="0"/>
          <w:sz w:val="24"/>
          <w:szCs w:val="24"/>
          <w:lang w:val="it-IT"/>
        </w:rPr>
        <w:tab/>
      </w:r>
      <w:r>
        <w:t>Conclusion (Role of the EU)</w:t>
      </w:r>
      <w:r>
        <w:tab/>
      </w:r>
      <w:r>
        <w:fldChar w:fldCharType="begin"/>
      </w:r>
      <w:r>
        <w:instrText xml:space="preserve"> PAGEREF _Toc189650460 \h </w:instrText>
      </w:r>
      <w:r>
        <w:fldChar w:fldCharType="separate"/>
      </w:r>
      <w:r>
        <w:t>3</w:t>
      </w:r>
      <w:r>
        <w:fldChar w:fldCharType="end"/>
      </w:r>
    </w:p>
    <w:p w:rsidR="00854E9D" w:rsidRPr="00BF002C" w:rsidRDefault="00854E9D" w:rsidP="00770904">
      <w:r w:rsidRPr="00403F07">
        <w:rPr>
          <w:b/>
          <w:bCs/>
          <w:caps/>
        </w:rPr>
        <w:fldChar w:fldCharType="end"/>
      </w:r>
    </w:p>
    <w:p w:rsidR="00854E9D" w:rsidRPr="00BF002C" w:rsidRDefault="00854E9D" w:rsidP="00770904"/>
    <w:p w:rsidR="00854E9D" w:rsidRDefault="00854E9D" w:rsidP="00770904">
      <w:pPr>
        <w:rPr>
          <w:b/>
          <w:bCs/>
          <w:sz w:val="32"/>
          <w:szCs w:val="32"/>
        </w:rPr>
        <w:sectPr w:rsidR="00854E9D" w:rsidSect="00C502BC">
          <w:headerReference w:type="default" r:id="rId13"/>
          <w:footerReference w:type="default" r:id="rId14"/>
          <w:headerReference w:type="first" r:id="rId15"/>
          <w:footerReference w:type="first" r:id="rId16"/>
          <w:pgSz w:w="11906" w:h="16838"/>
          <w:pgMar w:top="1440" w:right="1800" w:bottom="1440" w:left="1800" w:header="708" w:footer="708" w:gutter="0"/>
          <w:cols w:space="708"/>
          <w:titlePg/>
          <w:docGrid w:linePitch="381"/>
        </w:sectPr>
      </w:pPr>
    </w:p>
    <w:p w:rsidR="00854E9D" w:rsidRDefault="00854E9D" w:rsidP="00770904">
      <w:pPr>
        <w:rPr>
          <w:b/>
          <w:bCs/>
          <w:sz w:val="32"/>
          <w:szCs w:val="32"/>
        </w:rPr>
        <w:sectPr w:rsidR="00854E9D" w:rsidSect="001F64EC">
          <w:pgSz w:w="11906" w:h="16838"/>
          <w:pgMar w:top="1440" w:right="1800" w:bottom="1440" w:left="1800" w:header="708" w:footer="708" w:gutter="0"/>
          <w:cols w:space="708"/>
          <w:docGrid w:linePitch="360"/>
        </w:sectPr>
      </w:pPr>
    </w:p>
    <w:p w:rsidR="00854E9D" w:rsidRPr="00E332EB" w:rsidRDefault="00854E9D" w:rsidP="00770904">
      <w:pPr>
        <w:rPr>
          <w:b/>
          <w:bCs/>
          <w:sz w:val="32"/>
          <w:szCs w:val="32"/>
        </w:rPr>
      </w:pPr>
    </w:p>
    <w:p w:rsidR="00854E9D" w:rsidRPr="00E332EB" w:rsidRDefault="00854E9D" w:rsidP="00770904">
      <w:pPr>
        <w:pStyle w:val="Heading1"/>
      </w:pPr>
      <w:bookmarkStart w:id="0" w:name="_Toc189650445"/>
      <w:bookmarkStart w:id="1" w:name="_Toc295387461"/>
      <w:bookmarkStart w:id="2" w:name="_Toc295387518"/>
      <w:r w:rsidRPr="00403F07">
        <w:t>INTRODUCTIO</w:t>
      </w:r>
      <w:r>
        <w:t>N AND MAIN FINDINGS</w:t>
      </w:r>
      <w:bookmarkEnd w:id="0"/>
    </w:p>
    <w:bookmarkEnd w:id="1"/>
    <w:bookmarkEnd w:id="2"/>
    <w:p w:rsidR="00854E9D" w:rsidRPr="00E332EB" w:rsidRDefault="00854E9D" w:rsidP="00770904"/>
    <w:p w:rsidR="00854E9D" w:rsidRDefault="00854E9D" w:rsidP="00770904">
      <w:r>
        <w:rPr>
          <w:rFonts w:ascii="Times" w:hAnsi="Times" w:cs="Times"/>
        </w:rPr>
        <w:t>This report aims to provide useful insights for</w:t>
      </w:r>
      <w:r w:rsidRPr="00403F07">
        <w:t xml:space="preserve"> regional parliaments </w:t>
      </w:r>
      <w:r>
        <w:t xml:space="preserve">involved in </w:t>
      </w:r>
      <w:r w:rsidRPr="00403F07">
        <w:t>E</w:t>
      </w:r>
      <w:r>
        <w:t xml:space="preserve">arly Warning System mechanisms into the three new legislative proposals issued by the Commission on public procurement. The report presents the background to the new proposals, </w:t>
      </w:r>
      <w:r w:rsidRPr="00403F07">
        <w:t>the</w:t>
      </w:r>
      <w:r>
        <w:t xml:space="preserve"> main expectations of the local and regional authorities (LRAs)</w:t>
      </w:r>
      <w:r>
        <w:rPr>
          <w:rStyle w:val="FootnoteReference"/>
        </w:rPr>
        <w:footnoteReference w:id="2"/>
      </w:r>
      <w:r>
        <w:t xml:space="preserve">, and </w:t>
      </w:r>
      <w:r w:rsidRPr="00403F07">
        <w:t>a</w:t>
      </w:r>
      <w:r>
        <w:t xml:space="preserve">n initial overview of potential </w:t>
      </w:r>
      <w:r w:rsidRPr="00403F07">
        <w:t>issues</w:t>
      </w:r>
      <w:r>
        <w:t xml:space="preserve"> regarding the subsidiarity and proportionality principles</w:t>
      </w:r>
      <w:r w:rsidRPr="00403F07">
        <w:t xml:space="preserve">. </w:t>
      </w:r>
    </w:p>
    <w:p w:rsidR="00854E9D" w:rsidRDefault="00854E9D" w:rsidP="00770904">
      <w:pPr>
        <w:widowControl w:val="0"/>
        <w:autoSpaceDE w:val="0"/>
        <w:autoSpaceDN w:val="0"/>
        <w:adjustRightInd w:val="0"/>
        <w:rPr>
          <w:rFonts w:ascii="Times" w:hAnsi="Times" w:cs="Times"/>
        </w:rPr>
      </w:pPr>
    </w:p>
    <w:p w:rsidR="00854E9D" w:rsidRDefault="00854E9D" w:rsidP="00770904">
      <w:pPr>
        <w:widowControl w:val="0"/>
        <w:autoSpaceDE w:val="0"/>
        <w:autoSpaceDN w:val="0"/>
        <w:adjustRightInd w:val="0"/>
        <w:rPr>
          <w:rFonts w:ascii="Times" w:hAnsi="Times" w:cs="Times"/>
        </w:rPr>
      </w:pPr>
      <w:r>
        <w:rPr>
          <w:rFonts w:ascii="Times" w:hAnsi="Times" w:cs="Times"/>
        </w:rPr>
        <w:t>On 20 December 2011, the European Commission issued three new legislative proposals regarding public procurement. They concern specifically:</w:t>
      </w:r>
    </w:p>
    <w:p w:rsidR="00854E9D" w:rsidRDefault="00854E9D" w:rsidP="00770904">
      <w:pPr>
        <w:widowControl w:val="0"/>
        <w:autoSpaceDE w:val="0"/>
        <w:autoSpaceDN w:val="0"/>
        <w:adjustRightInd w:val="0"/>
        <w:rPr>
          <w:rFonts w:ascii="Times" w:hAnsi="Times" w:cs="Times"/>
        </w:rPr>
      </w:pPr>
    </w:p>
    <w:p w:rsidR="00854E9D" w:rsidRDefault="00854E9D" w:rsidP="00770904">
      <w:pPr>
        <w:pStyle w:val="ListParagraph"/>
        <w:widowControl w:val="0"/>
        <w:numPr>
          <w:ilvl w:val="0"/>
          <w:numId w:val="24"/>
        </w:numPr>
        <w:autoSpaceDE w:val="0"/>
        <w:autoSpaceDN w:val="0"/>
        <w:adjustRightInd w:val="0"/>
        <w:rPr>
          <w:rFonts w:ascii="Times" w:hAnsi="Times" w:cs="Times"/>
        </w:rPr>
      </w:pPr>
      <w:r w:rsidRPr="00CA5FC5">
        <w:rPr>
          <w:rFonts w:ascii="Times" w:hAnsi="Times" w:cs="Times"/>
        </w:rPr>
        <w:t>public procurement in general</w:t>
      </w:r>
      <w:r>
        <w:rPr>
          <w:rStyle w:val="FootnoteReference"/>
          <w:rFonts w:ascii="Times" w:hAnsi="Times" w:cs="Times"/>
        </w:rPr>
        <w:footnoteReference w:id="3"/>
      </w:r>
      <w:r>
        <w:rPr>
          <w:rFonts w:ascii="Times" w:hAnsi="Times" w:cs="Times"/>
        </w:rPr>
        <w:t>;</w:t>
      </w:r>
    </w:p>
    <w:p w:rsidR="00854E9D" w:rsidRDefault="00854E9D" w:rsidP="00770904">
      <w:pPr>
        <w:pStyle w:val="ListParagraph"/>
        <w:widowControl w:val="0"/>
        <w:numPr>
          <w:ilvl w:val="0"/>
          <w:numId w:val="24"/>
        </w:numPr>
        <w:autoSpaceDE w:val="0"/>
        <w:autoSpaceDN w:val="0"/>
        <w:adjustRightInd w:val="0"/>
        <w:rPr>
          <w:rFonts w:ascii="Times" w:hAnsi="Times" w:cs="Times"/>
        </w:rPr>
      </w:pPr>
      <w:r w:rsidRPr="00CA5FC5">
        <w:rPr>
          <w:rFonts w:ascii="Times" w:hAnsi="Times" w:cs="Times"/>
        </w:rPr>
        <w:t xml:space="preserve">procurement </w:t>
      </w:r>
      <w:r w:rsidRPr="00C378FF">
        <w:rPr>
          <w:rFonts w:ascii="Times" w:hAnsi="Times" w:cs="Times"/>
        </w:rPr>
        <w:t> </w:t>
      </w:r>
      <w:r w:rsidRPr="00CA5FC5">
        <w:rPr>
          <w:rFonts w:ascii="Times" w:hAnsi="Times" w:cs="Times"/>
        </w:rPr>
        <w:t>by entities operating in the water, energy, transport and postal services sectors</w:t>
      </w:r>
      <w:r>
        <w:rPr>
          <w:rStyle w:val="FootnoteReference"/>
          <w:rFonts w:ascii="Times" w:hAnsi="Times" w:cs="Times"/>
        </w:rPr>
        <w:footnoteReference w:id="4"/>
      </w:r>
      <w:r>
        <w:rPr>
          <w:rFonts w:ascii="Times" w:hAnsi="Times" w:cs="Times"/>
        </w:rPr>
        <w:t>;</w:t>
      </w:r>
    </w:p>
    <w:p w:rsidR="00854E9D" w:rsidRPr="00097D9F" w:rsidRDefault="00854E9D" w:rsidP="00770904">
      <w:pPr>
        <w:pStyle w:val="ListParagraph"/>
        <w:widowControl w:val="0"/>
        <w:numPr>
          <w:ilvl w:val="0"/>
          <w:numId w:val="24"/>
        </w:numPr>
        <w:autoSpaceDE w:val="0"/>
        <w:autoSpaceDN w:val="0"/>
        <w:adjustRightInd w:val="0"/>
        <w:rPr>
          <w:rFonts w:ascii="Times" w:hAnsi="Times" w:cs="Times"/>
        </w:rPr>
      </w:pPr>
      <w:r w:rsidRPr="00097D9F">
        <w:rPr>
          <w:rFonts w:ascii="Times" w:hAnsi="Times" w:cs="Times"/>
        </w:rPr>
        <w:t>the award of concession contracts</w:t>
      </w:r>
      <w:r w:rsidRPr="00097D9F">
        <w:rPr>
          <w:rStyle w:val="FootnoteReference"/>
          <w:rFonts w:ascii="Times" w:hAnsi="Times" w:cs="Times"/>
        </w:rPr>
        <w:footnoteReference w:id="5"/>
      </w:r>
      <w:r w:rsidRPr="00097D9F">
        <w:rPr>
          <w:rFonts w:ascii="Times" w:hAnsi="Times" w:cs="Times"/>
        </w:rPr>
        <w:t>.</w:t>
      </w:r>
    </w:p>
    <w:p w:rsidR="00854E9D" w:rsidRDefault="00854E9D" w:rsidP="00770904">
      <w:pPr>
        <w:widowControl w:val="0"/>
        <w:autoSpaceDE w:val="0"/>
        <w:autoSpaceDN w:val="0"/>
        <w:adjustRightInd w:val="0"/>
        <w:rPr>
          <w:rFonts w:ascii="Times" w:hAnsi="Times" w:cs="Times"/>
        </w:rPr>
      </w:pPr>
    </w:p>
    <w:p w:rsidR="00854E9D" w:rsidRPr="00E332EB" w:rsidRDefault="00854E9D" w:rsidP="00770904">
      <w:pPr>
        <w:widowControl w:val="0"/>
        <w:autoSpaceDE w:val="0"/>
        <w:autoSpaceDN w:val="0"/>
        <w:adjustRightInd w:val="0"/>
        <w:rPr>
          <w:rFonts w:ascii="Times" w:hAnsi="Times" w:cs="Times"/>
        </w:rPr>
      </w:pPr>
      <w:r w:rsidRPr="00403F07">
        <w:rPr>
          <w:rFonts w:ascii="Times" w:hAnsi="Times" w:cs="Times"/>
        </w:rPr>
        <w:t xml:space="preserve">The current EU </w:t>
      </w:r>
      <w:r>
        <w:t>public p</w:t>
      </w:r>
      <w:r w:rsidRPr="00403F07">
        <w:t>rocurement</w:t>
      </w:r>
      <w:r>
        <w:rPr>
          <w:rFonts w:ascii="Times" w:hAnsi="Times" w:cs="Times"/>
        </w:rPr>
        <w:t xml:space="preserve"> (PP) d</w:t>
      </w:r>
      <w:r w:rsidRPr="00E332EB">
        <w:rPr>
          <w:rFonts w:ascii="Times" w:hAnsi="Times" w:cs="Times"/>
        </w:rPr>
        <w:t>irectives have helped to establish a culture of transparency and outcome-driven procurement in the EU by triggering competition for public contracts, a</w:t>
      </w:r>
      <w:r>
        <w:rPr>
          <w:rFonts w:ascii="Times" w:hAnsi="Times" w:cs="Times"/>
        </w:rPr>
        <w:t>s well as</w:t>
      </w:r>
      <w:r w:rsidRPr="00E332EB">
        <w:rPr>
          <w:rFonts w:ascii="Times" w:hAnsi="Times" w:cs="Times"/>
        </w:rPr>
        <w:t xml:space="preserve"> generating savings and improvements in the quality of procurement outcomes. </w:t>
      </w:r>
      <w:r>
        <w:rPr>
          <w:rFonts w:ascii="Times" w:hAnsi="Times" w:cs="Times"/>
        </w:rPr>
        <w:t>It is estimated that o</w:t>
      </w:r>
      <w:r w:rsidRPr="00E332EB">
        <w:rPr>
          <w:rFonts w:ascii="Times" w:hAnsi="Times" w:cs="Times"/>
        </w:rPr>
        <w:t>pen and competitive procurement procedure</w:t>
      </w:r>
      <w:r>
        <w:rPr>
          <w:rFonts w:ascii="Times" w:hAnsi="Times" w:cs="Times"/>
        </w:rPr>
        <w:t>s</w:t>
      </w:r>
      <w:r w:rsidRPr="00E332EB">
        <w:rPr>
          <w:rFonts w:ascii="Times" w:hAnsi="Times" w:cs="Times"/>
        </w:rPr>
        <w:t xml:space="preserve"> </w:t>
      </w:r>
      <w:r>
        <w:rPr>
          <w:rFonts w:ascii="Times" w:hAnsi="Times" w:cs="Times"/>
        </w:rPr>
        <w:t xml:space="preserve">drove </w:t>
      </w:r>
      <w:r w:rsidRPr="00E332EB">
        <w:rPr>
          <w:rFonts w:ascii="Times" w:hAnsi="Times" w:cs="Times"/>
        </w:rPr>
        <w:t xml:space="preserve">down costs by around 4% in 2009, generating savings of approximately €20 billion for the €420 billion of public contracts published at EU level, far exceeding the €5 billion costs generated by the regulatory framework. This could generate increases in employment of 160-240 thousand jobs and GDP of between 0.08 and 0.12%. If these savings were </w:t>
      </w:r>
      <w:r>
        <w:rPr>
          <w:rFonts w:ascii="Times" w:hAnsi="Times" w:cs="Times"/>
        </w:rPr>
        <w:t>achieved</w:t>
      </w:r>
      <w:r w:rsidRPr="00E332EB">
        <w:rPr>
          <w:rFonts w:ascii="Times" w:hAnsi="Times" w:cs="Times"/>
        </w:rPr>
        <w:t xml:space="preserve"> for all PP the gains would be correspondingly greater (0.5% growth in GDP and employment)</w:t>
      </w:r>
      <w:r>
        <w:rPr>
          <w:rStyle w:val="FootnoteReference"/>
          <w:rFonts w:ascii="Times" w:hAnsi="Times" w:cs="Times"/>
          <w:color w:val="333333"/>
        </w:rPr>
        <w:footnoteReference w:id="6"/>
      </w:r>
      <w:r w:rsidRPr="00E332EB">
        <w:rPr>
          <w:rFonts w:ascii="Times" w:hAnsi="Times" w:cs="Times"/>
        </w:rPr>
        <w:t>.</w:t>
      </w:r>
    </w:p>
    <w:p w:rsidR="00854E9D" w:rsidRPr="00E332EB" w:rsidRDefault="00854E9D" w:rsidP="00770904">
      <w:pPr>
        <w:widowControl w:val="0"/>
        <w:autoSpaceDE w:val="0"/>
        <w:autoSpaceDN w:val="0"/>
        <w:adjustRightInd w:val="0"/>
        <w:rPr>
          <w:rFonts w:ascii="Times" w:hAnsi="Times" w:cs="Times"/>
        </w:rPr>
      </w:pPr>
    </w:p>
    <w:p w:rsidR="00854E9D" w:rsidRDefault="00854E9D" w:rsidP="00770904">
      <w:pPr>
        <w:widowControl w:val="0"/>
        <w:autoSpaceDE w:val="0"/>
        <w:autoSpaceDN w:val="0"/>
        <w:adjustRightInd w:val="0"/>
        <w:rPr>
          <w:rFonts w:ascii="Times" w:hAnsi="Times" w:cs="Times"/>
        </w:rPr>
      </w:pPr>
      <w:r>
        <w:rPr>
          <w:rFonts w:ascii="Times" w:hAnsi="Times" w:cs="Times"/>
        </w:rPr>
        <w:t xml:space="preserve">The aim of the legislative proposals is to enhance the role </w:t>
      </w:r>
      <w:r w:rsidRPr="00403F07">
        <w:rPr>
          <w:rFonts w:ascii="Times" w:hAnsi="Times" w:cs="Times"/>
        </w:rPr>
        <w:t>of PP in the European market</w:t>
      </w:r>
      <w:r>
        <w:rPr>
          <w:rFonts w:ascii="Times" w:hAnsi="Times" w:cs="Times"/>
        </w:rPr>
        <w:t xml:space="preserve"> by</w:t>
      </w:r>
      <w:r w:rsidRPr="00403F07">
        <w:rPr>
          <w:rFonts w:ascii="Times" w:hAnsi="Times" w:cs="Times"/>
        </w:rPr>
        <w:t xml:space="preserve"> </w:t>
      </w:r>
      <w:r>
        <w:rPr>
          <w:rFonts w:ascii="Times" w:hAnsi="Times" w:cs="Times"/>
        </w:rPr>
        <w:t xml:space="preserve">modernising </w:t>
      </w:r>
      <w:r w:rsidRPr="00403F07">
        <w:rPr>
          <w:rFonts w:ascii="Times" w:hAnsi="Times" w:cs="Times"/>
        </w:rPr>
        <w:t xml:space="preserve">the existing instruments and methods to make them better suited to deal with the evolving political, social and economic context. In fact, if compared with the private sector, cross-border participation in EU PP procedures remains low </w:t>
      </w:r>
      <w:r w:rsidRPr="00C6046D">
        <w:rPr>
          <w:rFonts w:ascii="Times" w:hAnsi="Times" w:cs="Times"/>
        </w:rPr>
        <w:t>–</w:t>
      </w:r>
      <w:r w:rsidRPr="00403F07">
        <w:rPr>
          <w:rFonts w:ascii="Times" w:hAnsi="Times" w:cs="Times"/>
        </w:rPr>
        <w:t xml:space="preserve"> only 1.6% of public contracts are awarded to operators from other Member States </w:t>
      </w:r>
      <w:r w:rsidRPr="00C6046D">
        <w:rPr>
          <w:rFonts w:ascii="Times" w:hAnsi="Times" w:cs="Times"/>
        </w:rPr>
        <w:t>–</w:t>
      </w:r>
      <w:r w:rsidRPr="00403F07">
        <w:rPr>
          <w:rFonts w:ascii="Times" w:hAnsi="Times" w:cs="Times"/>
        </w:rPr>
        <w:t xml:space="preserve"> as </w:t>
      </w:r>
      <w:r>
        <w:rPr>
          <w:rFonts w:ascii="Times" w:hAnsi="Times" w:cs="Times"/>
        </w:rPr>
        <w:t>does</w:t>
      </w:r>
      <w:r w:rsidRPr="00403F07">
        <w:rPr>
          <w:rFonts w:ascii="Times" w:hAnsi="Times" w:cs="Times"/>
        </w:rPr>
        <w:t xml:space="preserve"> the participation of SMEs. </w:t>
      </w:r>
      <w:r>
        <w:rPr>
          <w:rFonts w:ascii="Times" w:hAnsi="Times" w:cs="Times"/>
        </w:rPr>
        <w:t>There</w:t>
      </w:r>
      <w:r w:rsidRPr="00403F07">
        <w:rPr>
          <w:rFonts w:ascii="Times" w:hAnsi="Times" w:cs="Times"/>
        </w:rPr>
        <w:t xml:space="preserve"> is still </w:t>
      </w:r>
      <w:r>
        <w:rPr>
          <w:rFonts w:ascii="Times" w:hAnsi="Times" w:cs="Times"/>
        </w:rPr>
        <w:t xml:space="preserve">therefore </w:t>
      </w:r>
      <w:r w:rsidRPr="00403F07">
        <w:rPr>
          <w:rFonts w:ascii="Times" w:hAnsi="Times" w:cs="Times"/>
        </w:rPr>
        <w:t xml:space="preserve">considerable potential to be tapped and many stakeholders have been demanding a review of the EU PP system to increase its efficiency and effectiveness. </w:t>
      </w:r>
    </w:p>
    <w:p w:rsidR="00854E9D" w:rsidRDefault="00854E9D" w:rsidP="00770904">
      <w:pPr>
        <w:widowControl w:val="0"/>
        <w:autoSpaceDE w:val="0"/>
        <w:autoSpaceDN w:val="0"/>
        <w:adjustRightInd w:val="0"/>
        <w:rPr>
          <w:rFonts w:ascii="Times" w:hAnsi="Times" w:cs="Times"/>
        </w:rPr>
      </w:pPr>
    </w:p>
    <w:p w:rsidR="00854E9D" w:rsidRDefault="00854E9D" w:rsidP="00770904">
      <w:pPr>
        <w:widowControl w:val="0"/>
        <w:autoSpaceDE w:val="0"/>
        <w:autoSpaceDN w:val="0"/>
        <w:adjustRightInd w:val="0"/>
        <w:rPr>
          <w:rFonts w:ascii="Times" w:hAnsi="Times" w:cs="Times"/>
        </w:rPr>
      </w:pPr>
      <w:r w:rsidRPr="00FB2086">
        <w:rPr>
          <w:rFonts w:ascii="Times" w:hAnsi="Times" w:cs="Times"/>
        </w:rPr>
        <w:t xml:space="preserve">The new legislative proposals </w:t>
      </w:r>
      <w:r>
        <w:rPr>
          <w:rFonts w:ascii="Times" w:hAnsi="Times" w:cs="Times"/>
        </w:rPr>
        <w:t xml:space="preserve">on PP </w:t>
      </w:r>
      <w:r w:rsidRPr="00FB2086">
        <w:rPr>
          <w:rFonts w:ascii="Times" w:hAnsi="Times" w:cs="Times"/>
        </w:rPr>
        <w:t>me</w:t>
      </w:r>
      <w:r>
        <w:rPr>
          <w:rFonts w:ascii="Times" w:hAnsi="Times" w:cs="Times"/>
        </w:rPr>
        <w:t>e</w:t>
      </w:r>
      <w:r w:rsidRPr="00FB2086">
        <w:rPr>
          <w:rFonts w:ascii="Times" w:hAnsi="Times" w:cs="Times"/>
        </w:rPr>
        <w:t xml:space="preserve">t several expectations </w:t>
      </w:r>
      <w:r>
        <w:rPr>
          <w:rFonts w:ascii="Times" w:hAnsi="Times" w:cs="Times"/>
        </w:rPr>
        <w:t xml:space="preserve">expressed by LRAs </w:t>
      </w:r>
      <w:r w:rsidRPr="00FB2086">
        <w:rPr>
          <w:rFonts w:ascii="Times" w:hAnsi="Times" w:cs="Times"/>
        </w:rPr>
        <w:t>during the consultation. First</w:t>
      </w:r>
      <w:r>
        <w:rPr>
          <w:rFonts w:ascii="Times" w:hAnsi="Times" w:cs="Times"/>
        </w:rPr>
        <w:t>ly,</w:t>
      </w:r>
      <w:r w:rsidRPr="00FB2086">
        <w:rPr>
          <w:rFonts w:ascii="Times" w:hAnsi="Times" w:cs="Times"/>
        </w:rPr>
        <w:t xml:space="preserve"> they provide</w:t>
      </w:r>
      <w:r>
        <w:rPr>
          <w:rFonts w:ascii="Times" w:hAnsi="Times" w:cs="Times"/>
        </w:rPr>
        <w:t xml:space="preserve"> greater </w:t>
      </w:r>
      <w:r w:rsidRPr="00FB2086">
        <w:rPr>
          <w:rFonts w:ascii="Times" w:hAnsi="Times" w:cs="Times"/>
        </w:rPr>
        <w:t xml:space="preserve">legal certainty for </w:t>
      </w:r>
      <w:r>
        <w:rPr>
          <w:rFonts w:ascii="Times" w:hAnsi="Times" w:cs="Times"/>
        </w:rPr>
        <w:t xml:space="preserve">various issues including the </w:t>
      </w:r>
      <w:r w:rsidRPr="00FB2086">
        <w:rPr>
          <w:rFonts w:ascii="Times" w:hAnsi="Times" w:cs="Times"/>
        </w:rPr>
        <w:t xml:space="preserve">scope of the </w:t>
      </w:r>
      <w:r>
        <w:rPr>
          <w:rFonts w:ascii="Times" w:hAnsi="Times" w:cs="Times"/>
        </w:rPr>
        <w:t xml:space="preserve">directives, definitions of tools and procedures, as well as cooperation between public and </w:t>
      </w:r>
      <w:r w:rsidRPr="00C378FF">
        <w:rPr>
          <w:rFonts w:ascii="Times" w:hAnsi="Times" w:cs="Times"/>
        </w:rPr>
        <w:t>public</w:t>
      </w:r>
      <w:r>
        <w:rPr>
          <w:rFonts w:ascii="Times" w:hAnsi="Times" w:cs="Times"/>
        </w:rPr>
        <w:t xml:space="preserve"> organisations. Secondly, they simplify the rules for sub–regional contracting authorities (</w:t>
      </w:r>
      <w:r>
        <w:t xml:space="preserve">CAs) </w:t>
      </w:r>
      <w:r>
        <w:rPr>
          <w:rFonts w:ascii="Times" w:hAnsi="Times" w:cs="Times"/>
        </w:rPr>
        <w:t xml:space="preserve">especially in terms of information and communication. Finally, the new proposals enhance the flexibility of PP procedures, introducing a ‘tool box’ approach. </w:t>
      </w:r>
    </w:p>
    <w:p w:rsidR="00854E9D" w:rsidRDefault="00854E9D" w:rsidP="00770904">
      <w:pPr>
        <w:widowControl w:val="0"/>
        <w:autoSpaceDE w:val="0"/>
        <w:autoSpaceDN w:val="0"/>
        <w:adjustRightInd w:val="0"/>
        <w:rPr>
          <w:rFonts w:ascii="Times" w:hAnsi="Times" w:cs="Times"/>
        </w:rPr>
      </w:pPr>
    </w:p>
    <w:p w:rsidR="00854E9D" w:rsidRDefault="00854E9D" w:rsidP="00770904">
      <w:pPr>
        <w:widowControl w:val="0"/>
        <w:autoSpaceDE w:val="0"/>
        <w:autoSpaceDN w:val="0"/>
        <w:adjustRightInd w:val="0"/>
        <w:rPr>
          <w:rFonts w:ascii="Times" w:hAnsi="Times" w:cs="Times"/>
        </w:rPr>
      </w:pPr>
      <w:r>
        <w:rPr>
          <w:rFonts w:ascii="Times" w:hAnsi="Times" w:cs="Times"/>
        </w:rPr>
        <w:t>Although the LRAs attach</w:t>
      </w:r>
      <w:r w:rsidRPr="00403F07">
        <w:rPr>
          <w:rFonts w:ascii="Times" w:hAnsi="Times" w:cs="Times"/>
        </w:rPr>
        <w:t xml:space="preserve"> great </w:t>
      </w:r>
      <w:r>
        <w:rPr>
          <w:rFonts w:ascii="Times" w:hAnsi="Times" w:cs="Times"/>
        </w:rPr>
        <w:t xml:space="preserve">importance </w:t>
      </w:r>
      <w:r w:rsidRPr="00403F07">
        <w:rPr>
          <w:rFonts w:ascii="Times" w:hAnsi="Times" w:cs="Times"/>
        </w:rPr>
        <w:t xml:space="preserve">to the </w:t>
      </w:r>
      <w:r>
        <w:rPr>
          <w:rFonts w:ascii="Times" w:hAnsi="Times" w:cs="Times"/>
        </w:rPr>
        <w:t xml:space="preserve">achievement </w:t>
      </w:r>
      <w:r w:rsidRPr="00403F07">
        <w:rPr>
          <w:rFonts w:ascii="Times" w:hAnsi="Times" w:cs="Times"/>
        </w:rPr>
        <w:t xml:space="preserve">of PP objectives relating to innovation, social inclusion, sustainability and the environment as indicated in the </w:t>
      </w:r>
      <w:r w:rsidRPr="009D3905">
        <w:rPr>
          <w:rFonts w:ascii="Times" w:hAnsi="Times" w:cs="Times"/>
        </w:rPr>
        <w:t>Green Paper</w:t>
      </w:r>
      <w:r w:rsidRPr="00403F07">
        <w:rPr>
          <w:rFonts w:ascii="Times" w:hAnsi="Times" w:cs="Times"/>
        </w:rPr>
        <w:t>,</w:t>
      </w:r>
      <w:r>
        <w:rPr>
          <w:rFonts w:ascii="Times" w:hAnsi="Times" w:cs="Times"/>
        </w:rPr>
        <w:t xml:space="preserve"> the new proposals only partially support the strategic use of PP. On the one hand, the possibility of requiring specific social and environmental labelling in the life-cycle costing may help LRAs to pursue the Europe 2020 horizontal objectives (innovation, environment, social inclusion). On the other hand, the use of these criteria is still linked to the subject matter of the contract, which limits the potential impact on PP.</w:t>
      </w:r>
    </w:p>
    <w:p w:rsidR="00854E9D" w:rsidRDefault="00854E9D" w:rsidP="00770904">
      <w:pPr>
        <w:widowControl w:val="0"/>
        <w:autoSpaceDE w:val="0"/>
        <w:autoSpaceDN w:val="0"/>
        <w:adjustRightInd w:val="0"/>
        <w:rPr>
          <w:rFonts w:ascii="Times" w:hAnsi="Times" w:cs="Times"/>
        </w:rPr>
      </w:pPr>
    </w:p>
    <w:p w:rsidR="00854E9D" w:rsidRDefault="00854E9D" w:rsidP="00770904">
      <w:pPr>
        <w:autoSpaceDE w:val="0"/>
        <w:autoSpaceDN w:val="0"/>
        <w:adjustRightInd w:val="0"/>
      </w:pPr>
      <w:r>
        <w:rPr>
          <w:rFonts w:ascii="Times" w:hAnsi="Times" w:cs="Times"/>
        </w:rPr>
        <w:t xml:space="preserve">Despite the LRAs’ scepticism regarding the need for specific and detailed legislation, the Commission issued a new proposal specifically addressing concession. Although it was less </w:t>
      </w:r>
      <w:r w:rsidRPr="00C378FF">
        <w:rPr>
          <w:rFonts w:ascii="Times" w:hAnsi="Times" w:cs="Times"/>
        </w:rPr>
        <w:t>detailed</w:t>
      </w:r>
      <w:r>
        <w:rPr>
          <w:rFonts w:ascii="Times" w:hAnsi="Times" w:cs="Times"/>
        </w:rPr>
        <w:t xml:space="preserve"> than the proposal on PP, the new proposal provides for rules on many aspects such as p</w:t>
      </w:r>
      <w:r w:rsidRPr="002B4ECB">
        <w:rPr>
          <w:rFonts w:ascii="Times" w:hAnsi="Times" w:cs="Times"/>
        </w:rPr>
        <w:t>ublic</w:t>
      </w:r>
      <w:r>
        <w:rPr>
          <w:rFonts w:ascii="Times" w:hAnsi="Times" w:cs="Times"/>
        </w:rPr>
        <w:t>ation in the Official Journal, d</w:t>
      </w:r>
      <w:r w:rsidRPr="002B4ECB">
        <w:rPr>
          <w:rFonts w:ascii="Times" w:hAnsi="Times" w:cs="Times"/>
        </w:rPr>
        <w:t xml:space="preserve">eadlines, </w:t>
      </w:r>
      <w:r>
        <w:rPr>
          <w:rFonts w:ascii="Times" w:hAnsi="Times" w:cs="Times"/>
        </w:rPr>
        <w:t>s</w:t>
      </w:r>
      <w:r w:rsidRPr="002B4ECB">
        <w:rPr>
          <w:rFonts w:ascii="Times" w:hAnsi="Times" w:cs="Times"/>
        </w:rPr>
        <w:t xml:space="preserve">election and exclusion criteria, </w:t>
      </w:r>
      <w:r>
        <w:rPr>
          <w:rFonts w:ascii="Times" w:hAnsi="Times" w:cs="Times"/>
        </w:rPr>
        <w:t>a</w:t>
      </w:r>
      <w:r w:rsidRPr="002B4ECB">
        <w:rPr>
          <w:rFonts w:ascii="Times" w:hAnsi="Times" w:cs="Times"/>
        </w:rPr>
        <w:t>ward criteria</w:t>
      </w:r>
      <w:r>
        <w:rPr>
          <w:rFonts w:ascii="Times" w:hAnsi="Times" w:cs="Times"/>
        </w:rPr>
        <w:t>, procedural guarantees,</w:t>
      </w:r>
      <w:r w:rsidRPr="002B4ECB">
        <w:rPr>
          <w:rFonts w:ascii="Times" w:hAnsi="Times" w:cs="Times"/>
        </w:rPr>
        <w:t xml:space="preserve"> </w:t>
      </w:r>
      <w:r>
        <w:rPr>
          <w:rFonts w:ascii="Times" w:hAnsi="Times" w:cs="Times"/>
        </w:rPr>
        <w:t>and</w:t>
      </w:r>
      <w:r w:rsidRPr="002B4ECB">
        <w:rPr>
          <w:rFonts w:ascii="Times" w:hAnsi="Times" w:cs="Times"/>
        </w:rPr>
        <w:t xml:space="preserve"> </w:t>
      </w:r>
      <w:r>
        <w:rPr>
          <w:rFonts w:ascii="Times" w:hAnsi="Times" w:cs="Times"/>
        </w:rPr>
        <w:t>r</w:t>
      </w:r>
      <w:r w:rsidRPr="002B4ECB">
        <w:rPr>
          <w:rFonts w:ascii="Times" w:hAnsi="Times" w:cs="Times"/>
        </w:rPr>
        <w:t>emedies</w:t>
      </w:r>
      <w:r>
        <w:rPr>
          <w:i/>
          <w:iCs/>
          <w:sz w:val="24"/>
          <w:szCs w:val="24"/>
        </w:rPr>
        <w:t>.</w:t>
      </w:r>
    </w:p>
    <w:p w:rsidR="00854E9D" w:rsidRPr="001F5EB1" w:rsidRDefault="00854E9D" w:rsidP="00770904">
      <w:pPr>
        <w:widowControl w:val="0"/>
        <w:autoSpaceDE w:val="0"/>
        <w:autoSpaceDN w:val="0"/>
        <w:adjustRightInd w:val="0"/>
        <w:rPr>
          <w:rFonts w:ascii="Times" w:hAnsi="Times" w:cs="Times"/>
        </w:rPr>
      </w:pPr>
    </w:p>
    <w:p w:rsidR="00854E9D" w:rsidRDefault="00854E9D" w:rsidP="00770904">
      <w:r>
        <w:t xml:space="preserve">Although action is required at </w:t>
      </w:r>
      <w:r w:rsidRPr="00403F07">
        <w:t>EU level to successfully tackle some of the most important</w:t>
      </w:r>
      <w:r>
        <w:t xml:space="preserve"> problems regarding procurement, there are some issues to be tackled regarding the subsidiarity and proportionality principles. The more critical issues relate to the mandatory use of e-procurement and the establishment of a ‘national oversight body’ which may increase administrative costs and burdens without any clear immediate benefits, especially for small CAs.</w:t>
      </w:r>
    </w:p>
    <w:p w:rsidR="00854E9D" w:rsidRPr="00E332EB" w:rsidRDefault="00854E9D" w:rsidP="00770904"/>
    <w:p w:rsidR="00854E9D" w:rsidRPr="00E332EB" w:rsidRDefault="00854E9D" w:rsidP="00770904"/>
    <w:p w:rsidR="00854E9D" w:rsidRPr="00E332EB" w:rsidRDefault="00854E9D" w:rsidP="00770904">
      <w:pPr>
        <w:pStyle w:val="Heading2"/>
      </w:pPr>
      <w:bookmarkStart w:id="3" w:name="_Toc189650446"/>
      <w:r w:rsidRPr="00403F07">
        <w:t>1.1   Facts and Figures</w:t>
      </w:r>
      <w:r>
        <w:rPr>
          <w:rStyle w:val="FootnoteReference"/>
        </w:rPr>
        <w:footnoteReference w:id="7"/>
      </w:r>
      <w:bookmarkEnd w:id="3"/>
    </w:p>
    <w:p w:rsidR="00854E9D" w:rsidRPr="00E332EB" w:rsidRDefault="00854E9D" w:rsidP="00770904"/>
    <w:p w:rsidR="00854E9D" w:rsidRPr="00E332EB" w:rsidRDefault="00854E9D" w:rsidP="00770904">
      <w:pPr>
        <w:pStyle w:val="ListParagraph"/>
        <w:numPr>
          <w:ilvl w:val="0"/>
          <w:numId w:val="10"/>
        </w:numPr>
      </w:pPr>
      <w:r w:rsidRPr="00403F07">
        <w:t>In 2009</w:t>
      </w:r>
      <w:r>
        <w:t>,</w:t>
      </w:r>
      <w:r w:rsidRPr="00403F07">
        <w:t xml:space="preserve"> public expenditure on goods, services and works </w:t>
      </w:r>
      <w:r>
        <w:t>w</w:t>
      </w:r>
      <w:r w:rsidRPr="00403F07">
        <w:t>a</w:t>
      </w:r>
      <w:r>
        <w:t>s</w:t>
      </w:r>
      <w:r w:rsidRPr="00403F07">
        <w:t xml:space="preserve"> €2.1 trillion</w:t>
      </w:r>
      <w:r>
        <w:t>,</w:t>
      </w:r>
      <w:r w:rsidRPr="00403F07">
        <w:t xml:space="preserve"> or 19% of EU GDP. This makes the public sector the largest consumer in the European economy.</w:t>
      </w:r>
    </w:p>
    <w:p w:rsidR="00854E9D" w:rsidRPr="00E332EB" w:rsidRDefault="00854E9D" w:rsidP="00770904">
      <w:pPr>
        <w:pStyle w:val="ListParagraph"/>
        <w:numPr>
          <w:ilvl w:val="0"/>
          <w:numId w:val="10"/>
        </w:numPr>
      </w:pPr>
      <w:r w:rsidRPr="00403F07">
        <w:t xml:space="preserve">This money </w:t>
      </w:r>
      <w:r>
        <w:t>wa</w:t>
      </w:r>
      <w:r w:rsidRPr="00403F07">
        <w:t xml:space="preserve">s spent by 250,000 </w:t>
      </w:r>
      <w:r>
        <w:t>extremely diverse</w:t>
      </w:r>
      <w:r w:rsidRPr="00403F07">
        <w:t xml:space="preserve"> </w:t>
      </w:r>
      <w:r>
        <w:t>CAs</w:t>
      </w:r>
      <w:r w:rsidRPr="00403F07">
        <w:t xml:space="preserve">, varying greatly </w:t>
      </w:r>
      <w:r>
        <w:t>a</w:t>
      </w:r>
      <w:r w:rsidRPr="00E332EB">
        <w:t>cross the Member States</w:t>
      </w:r>
      <w:r>
        <w:t xml:space="preserve"> (here-after MS)</w:t>
      </w:r>
      <w:r w:rsidRPr="00E332EB">
        <w:t>.</w:t>
      </w:r>
    </w:p>
    <w:p w:rsidR="00854E9D" w:rsidRPr="00E332EB" w:rsidRDefault="00854E9D" w:rsidP="00770904">
      <w:pPr>
        <w:pStyle w:val="ListParagraph"/>
        <w:numPr>
          <w:ilvl w:val="0"/>
          <w:numId w:val="10"/>
        </w:numPr>
      </w:pPr>
      <w:r>
        <w:t>O</w:t>
      </w:r>
      <w:r w:rsidRPr="00403F07">
        <w:t>nly 20</w:t>
      </w:r>
      <w:r>
        <w:t>% of public expenditure</w:t>
      </w:r>
      <w:r w:rsidRPr="00403F07">
        <w:t xml:space="preserve"> w</w:t>
      </w:r>
      <w:r>
        <w:t>as</w:t>
      </w:r>
      <w:r w:rsidRPr="00403F07">
        <w:t xml:space="preserve"> covered by EU </w:t>
      </w:r>
      <w:r>
        <w:t>PP d</w:t>
      </w:r>
      <w:r w:rsidRPr="00403F07">
        <w:t>irectives.</w:t>
      </w:r>
    </w:p>
    <w:p w:rsidR="00854E9D" w:rsidRPr="00E332EB" w:rsidRDefault="00854E9D" w:rsidP="00770904">
      <w:pPr>
        <w:pStyle w:val="ListParagraph"/>
        <w:numPr>
          <w:ilvl w:val="0"/>
          <w:numId w:val="10"/>
        </w:numPr>
      </w:pPr>
      <w:r w:rsidRPr="00403F07">
        <w:t xml:space="preserve">It </w:t>
      </w:r>
      <w:r>
        <w:t>was</w:t>
      </w:r>
      <w:r w:rsidRPr="00403F07">
        <w:t xml:space="preserve"> estimated that e-procurement </w:t>
      </w:r>
      <w:r>
        <w:t>represents</w:t>
      </w:r>
      <w:r w:rsidRPr="00403F07">
        <w:t xml:space="preserve"> less than 5% of total procurement.</w:t>
      </w:r>
    </w:p>
    <w:p w:rsidR="00854E9D" w:rsidRPr="00E332EB" w:rsidRDefault="00854E9D" w:rsidP="00770904">
      <w:pPr>
        <w:pStyle w:val="ListParagraph"/>
        <w:numPr>
          <w:ilvl w:val="0"/>
          <w:numId w:val="10"/>
        </w:numPr>
      </w:pPr>
      <w:r w:rsidRPr="00403F07">
        <w:t xml:space="preserve">Tenders receive an average of 5.4 bids </w:t>
      </w:r>
      <w:r w:rsidRPr="00C6046D">
        <w:t>–</w:t>
      </w:r>
      <w:r w:rsidRPr="00403F07">
        <w:t xml:space="preserve"> 20% of EU</w:t>
      </w:r>
      <w:r>
        <w:t xml:space="preserve"> </w:t>
      </w:r>
      <w:r w:rsidRPr="00403F07">
        <w:t>advertised tenders receive only one bid.</w:t>
      </w:r>
    </w:p>
    <w:p w:rsidR="00854E9D" w:rsidRPr="00E332EB" w:rsidRDefault="00854E9D" w:rsidP="00770904">
      <w:pPr>
        <w:pStyle w:val="ListParagraph"/>
        <w:numPr>
          <w:ilvl w:val="0"/>
          <w:numId w:val="10"/>
        </w:numPr>
      </w:pPr>
      <w:r>
        <w:t>There is</w:t>
      </w:r>
      <w:r w:rsidRPr="00403F07">
        <w:t xml:space="preserve"> increased use of framework agreements and joint/centralised procurement: in 2009</w:t>
      </w:r>
      <w:r>
        <w:t>,</w:t>
      </w:r>
      <w:r w:rsidRPr="00403F07">
        <w:t xml:space="preserve"> joint purchasing bodies awarded over 40% of the total value of contracts to framework agreements.</w:t>
      </w:r>
    </w:p>
    <w:p w:rsidR="00854E9D" w:rsidRPr="00E332EB" w:rsidRDefault="00854E9D" w:rsidP="00770904">
      <w:pPr>
        <w:pStyle w:val="ListParagraph"/>
        <w:numPr>
          <w:ilvl w:val="0"/>
          <w:numId w:val="10"/>
        </w:numPr>
      </w:pPr>
      <w:r w:rsidRPr="00403F07">
        <w:t xml:space="preserve">Between 2006 and 2010, the most commonly used procedure was the traditional open </w:t>
      </w:r>
      <w:r>
        <w:t>tender with</w:t>
      </w:r>
      <w:r w:rsidRPr="00403F07">
        <w:t xml:space="preserve"> 73% of award notices accounting for 52% of the total value. Next was the restricted procedure, which was used in 9% of cases but with</w:t>
      </w:r>
      <w:r>
        <w:t xml:space="preserve"> a</w:t>
      </w:r>
      <w:r w:rsidRPr="00403F07">
        <w:t xml:space="preserve"> notable 23% of the value of all contracts awarded. Negotiated procedures with </w:t>
      </w:r>
      <w:r w:rsidRPr="00C378FF">
        <w:t>public</w:t>
      </w:r>
      <w:r w:rsidRPr="00403F07">
        <w:t xml:space="preserve"> </w:t>
      </w:r>
      <w:r w:rsidRPr="009D3905">
        <w:t>authorities</w:t>
      </w:r>
      <w:r>
        <w:t xml:space="preserve"> </w:t>
      </w:r>
      <w:r w:rsidRPr="00403F07">
        <w:t>account</w:t>
      </w:r>
      <w:r>
        <w:t>ed</w:t>
      </w:r>
      <w:r w:rsidRPr="00403F07">
        <w:t xml:space="preserve"> for 8% of the contract award notices and 14% of the value.</w:t>
      </w:r>
    </w:p>
    <w:p w:rsidR="00854E9D" w:rsidRPr="00E332EB" w:rsidRDefault="00854E9D" w:rsidP="00770904">
      <w:pPr>
        <w:pStyle w:val="ListParagraph"/>
        <w:numPr>
          <w:ilvl w:val="0"/>
          <w:numId w:val="10"/>
        </w:numPr>
      </w:pPr>
      <w:r w:rsidRPr="00E332EB">
        <w:t>Although 6</w:t>
      </w:r>
      <w:r>
        <w:t>0% of contracts covered by the d</w:t>
      </w:r>
      <w:r w:rsidRPr="00E332EB">
        <w:t>irectives were won by SMEs between 2006 an</w:t>
      </w:r>
      <w:r>
        <w:t>d 2008, their value made up just</w:t>
      </w:r>
      <w:r w:rsidRPr="00E332EB">
        <w:t xml:space="preserve"> 34% of the total value. </w:t>
      </w:r>
    </w:p>
    <w:p w:rsidR="00854E9D" w:rsidRPr="00E332EB" w:rsidRDefault="00854E9D" w:rsidP="00770904">
      <w:pPr>
        <w:pStyle w:val="ListParagraph"/>
        <w:numPr>
          <w:ilvl w:val="0"/>
          <w:numId w:val="10"/>
        </w:numPr>
      </w:pPr>
      <w:r w:rsidRPr="00403F07">
        <w:t>Utility operators are responsible for about 20% of procurement advertised in accordance with EU rules.</w:t>
      </w:r>
    </w:p>
    <w:p w:rsidR="00854E9D" w:rsidRPr="00E332EB" w:rsidRDefault="00854E9D" w:rsidP="00770904">
      <w:pPr>
        <w:pStyle w:val="ListParagraph"/>
        <w:numPr>
          <w:ilvl w:val="0"/>
          <w:numId w:val="10"/>
        </w:numPr>
      </w:pPr>
      <w:r w:rsidRPr="00403F07">
        <w:t>In 2005</w:t>
      </w:r>
      <w:r>
        <w:t>,</w:t>
      </w:r>
      <w:r w:rsidRPr="00403F07">
        <w:t xml:space="preserve"> import penetration in the public sector stood at 8%, lagging behind the private sector, which stood at 19%. </w:t>
      </w:r>
    </w:p>
    <w:p w:rsidR="00854E9D" w:rsidRPr="00E332EB" w:rsidRDefault="00854E9D" w:rsidP="00770904">
      <w:pPr>
        <w:pStyle w:val="ListParagraph"/>
        <w:numPr>
          <w:ilvl w:val="0"/>
          <w:numId w:val="10"/>
        </w:numPr>
      </w:pPr>
      <w:r w:rsidRPr="00403F07">
        <w:t>Direct cross-border procurement account</w:t>
      </w:r>
      <w:r>
        <w:t>ed</w:t>
      </w:r>
      <w:r w:rsidRPr="00403F07">
        <w:t xml:space="preserve"> for only 1.6% of public contracts between 2006 and 2009</w:t>
      </w:r>
      <w:r>
        <w:t>,</w:t>
      </w:r>
      <w:r w:rsidRPr="00403F07">
        <w:t xml:space="preserve"> whereas indirect cross-border procurement through affiliates ma</w:t>
      </w:r>
      <w:r>
        <w:t>d</w:t>
      </w:r>
      <w:r w:rsidRPr="00403F07">
        <w:t>e up 11.4% of the contracts awarded. Moreover, it seems that the smaller the country</w:t>
      </w:r>
      <w:r>
        <w:t xml:space="preserve"> was</w:t>
      </w:r>
      <w:r w:rsidRPr="00403F07">
        <w:t>, the shorter the distance</w:t>
      </w:r>
      <w:r>
        <w:t xml:space="preserve"> </w:t>
      </w:r>
      <w:r w:rsidRPr="00403F07">
        <w:t xml:space="preserve">between </w:t>
      </w:r>
      <w:r>
        <w:t>CA</w:t>
      </w:r>
      <w:r w:rsidRPr="00403F07">
        <w:t xml:space="preserve"> and successful bidder. </w:t>
      </w:r>
    </w:p>
    <w:p w:rsidR="00854E9D" w:rsidRDefault="00854E9D" w:rsidP="00770904">
      <w:pPr>
        <w:pStyle w:val="ListParagraph"/>
        <w:numPr>
          <w:ilvl w:val="0"/>
          <w:numId w:val="10"/>
        </w:numPr>
      </w:pPr>
      <w:r w:rsidRPr="00403F07">
        <w:t xml:space="preserve">Open and competitive PP reduced the costs by around 4%, generating savings of approximately €20 billion. </w:t>
      </w:r>
    </w:p>
    <w:p w:rsidR="00854E9D" w:rsidRPr="009F1875" w:rsidRDefault="00854E9D" w:rsidP="00770904">
      <w:pPr>
        <w:jc w:val="left"/>
      </w:pPr>
      <w:r>
        <w:br w:type="page"/>
      </w:r>
    </w:p>
    <w:p w:rsidR="00854E9D" w:rsidRPr="00E332EB" w:rsidRDefault="00854E9D" w:rsidP="00770904">
      <w:pPr>
        <w:pStyle w:val="Heading1"/>
        <w:ind w:left="360" w:hanging="360"/>
      </w:pPr>
      <w:bookmarkStart w:id="4" w:name="_Toc189650447"/>
      <w:r w:rsidRPr="00403F07">
        <w:t>Rationale for Revision</w:t>
      </w:r>
      <w:bookmarkEnd w:id="4"/>
    </w:p>
    <w:p w:rsidR="00854E9D" w:rsidRPr="00E332EB" w:rsidRDefault="00854E9D" w:rsidP="00770904"/>
    <w:p w:rsidR="00854E9D" w:rsidRPr="00E332EB" w:rsidRDefault="00854E9D" w:rsidP="00770904">
      <w:pPr>
        <w:pStyle w:val="Heading2"/>
      </w:pPr>
      <w:bookmarkStart w:id="5" w:name="_Toc189650448"/>
      <w:r w:rsidRPr="00403F07">
        <w:t>2.1   Weaknesses of current legislation</w:t>
      </w:r>
      <w:bookmarkEnd w:id="5"/>
    </w:p>
    <w:p w:rsidR="00854E9D" w:rsidRPr="00E332EB" w:rsidRDefault="00854E9D" w:rsidP="00770904"/>
    <w:p w:rsidR="00854E9D" w:rsidRDefault="00854E9D" w:rsidP="00770904">
      <w:r>
        <w:t>C</w:t>
      </w:r>
      <w:r w:rsidRPr="00403F07">
        <w:t xml:space="preserve">urrent </w:t>
      </w:r>
      <w:r>
        <w:t xml:space="preserve">PP </w:t>
      </w:r>
      <w:r w:rsidRPr="00403F07">
        <w:t>legislation is based on Directives</w:t>
      </w:r>
      <w:r>
        <w:t xml:space="preserve"> Nos</w:t>
      </w:r>
      <w:r w:rsidRPr="00403F07">
        <w:t xml:space="preserve"> 2004/18/EC</w:t>
      </w:r>
      <w:r>
        <w:rPr>
          <w:rStyle w:val="FootnoteReference"/>
        </w:rPr>
        <w:footnoteReference w:id="8"/>
      </w:r>
      <w:r w:rsidRPr="00403F07">
        <w:t xml:space="preserve"> and 2004/17/EC</w:t>
      </w:r>
      <w:r>
        <w:rPr>
          <w:rStyle w:val="FootnoteReference"/>
        </w:rPr>
        <w:footnoteReference w:id="9"/>
      </w:r>
      <w:r w:rsidRPr="00403F07">
        <w:t>. The</w:t>
      </w:r>
      <w:r>
        <w:t>se d</w:t>
      </w:r>
      <w:r w:rsidRPr="00403F07">
        <w:t>irectives regulate the publication and organisation of tender procedures for higher-value contracts. They apply common principles of transparency, open competition and sound procedural management to public contract award procedures</w:t>
      </w:r>
      <w:r>
        <w:t>,</w:t>
      </w:r>
      <w:r w:rsidRPr="00403F07">
        <w:t xml:space="preserve"> which are likely to be of interest to suppliers across t</w:t>
      </w:r>
      <w:r>
        <w:t>he single market. Open and well-</w:t>
      </w:r>
      <w:r w:rsidRPr="00403F07">
        <w:t>regulated procurement markets</w:t>
      </w:r>
      <w:r>
        <w:t xml:space="preserve"> are expected to contribute to</w:t>
      </w:r>
      <w:r w:rsidRPr="00403F07">
        <w:t xml:space="preserve"> better use of public resources.</w:t>
      </w:r>
    </w:p>
    <w:p w:rsidR="00854E9D" w:rsidRPr="00E332EB" w:rsidRDefault="00854E9D" w:rsidP="00770904"/>
    <w:p w:rsidR="00854E9D" w:rsidRPr="00BF002C" w:rsidRDefault="00854E9D" w:rsidP="00770904">
      <w:r w:rsidRPr="00403F07">
        <w:t>In June 2011</w:t>
      </w:r>
      <w:r>
        <w:t>,</w:t>
      </w:r>
      <w:r w:rsidRPr="00403F07">
        <w:t xml:space="preserve"> the </w:t>
      </w:r>
      <w:r>
        <w:t>Commission</w:t>
      </w:r>
      <w:r w:rsidRPr="00403F07">
        <w:t xml:space="preserve"> published </w:t>
      </w:r>
      <w:r>
        <w:t>an</w:t>
      </w:r>
      <w:r w:rsidRPr="00403F07">
        <w:t xml:space="preserve"> evaluation of the impact and effectiveness of EU PP legislation. Two major </w:t>
      </w:r>
      <w:r>
        <w:t>reason</w:t>
      </w:r>
      <w:r w:rsidRPr="00403F07">
        <w:t>s for a revision of the current legislation have been identified:</w:t>
      </w:r>
    </w:p>
    <w:p w:rsidR="00854E9D" w:rsidRPr="00BF002C" w:rsidRDefault="00854E9D" w:rsidP="00770904">
      <w:pPr>
        <w:pStyle w:val="ListParagraph"/>
        <w:numPr>
          <w:ilvl w:val="0"/>
          <w:numId w:val="11"/>
        </w:numPr>
      </w:pPr>
      <w:r w:rsidRPr="00403F07">
        <w:rPr>
          <w:b/>
          <w:bCs/>
        </w:rPr>
        <w:t>Structural changes in PP markets</w:t>
      </w:r>
      <w:r>
        <w:rPr>
          <w:b/>
          <w:bCs/>
        </w:rPr>
        <w:t>.</w:t>
      </w:r>
      <w:r w:rsidRPr="00403F07">
        <w:t xml:space="preserve"> This</w:t>
      </w:r>
      <w:r>
        <w:t xml:space="preserve"> </w:t>
      </w:r>
      <w:r w:rsidRPr="00403F07">
        <w:t xml:space="preserve">includes structural changes </w:t>
      </w:r>
      <w:r>
        <w:t>for</w:t>
      </w:r>
      <w:r w:rsidRPr="00403F07">
        <w:t xml:space="preserve"> increased sophistication and aggregation of demand through framework contracts and central purchasing</w:t>
      </w:r>
      <w:r>
        <w:t>,</w:t>
      </w:r>
      <w:r w:rsidRPr="00403F07">
        <w:t xml:space="preserve"> often combined with </w:t>
      </w:r>
      <w:r>
        <w:t xml:space="preserve">the </w:t>
      </w:r>
      <w:r w:rsidRPr="00403F07">
        <w:t xml:space="preserve">development of e-procurement platforms. </w:t>
      </w:r>
    </w:p>
    <w:p w:rsidR="00854E9D" w:rsidRPr="00BF002C" w:rsidRDefault="00854E9D" w:rsidP="00770904">
      <w:pPr>
        <w:pStyle w:val="ListParagraph"/>
        <w:numPr>
          <w:ilvl w:val="0"/>
          <w:numId w:val="11"/>
        </w:numPr>
      </w:pPr>
      <w:r w:rsidRPr="00403F07">
        <w:rPr>
          <w:b/>
          <w:bCs/>
        </w:rPr>
        <w:t>Use of PP to support the achievement of other objectives</w:t>
      </w:r>
      <w:r>
        <w:rPr>
          <w:b/>
          <w:bCs/>
        </w:rPr>
        <w:t>.</w:t>
      </w:r>
      <w:r w:rsidRPr="00403F07">
        <w:t xml:space="preserve"> There </w:t>
      </w:r>
      <w:r>
        <w:t>i</w:t>
      </w:r>
      <w:r w:rsidRPr="00403F07">
        <w:t>s growing policy interest in re-orienting public expenditure towards solutions that are more compatible with environmental sustainability, promo</w:t>
      </w:r>
      <w:r>
        <w:t>te social policy considerations</w:t>
      </w:r>
      <w:r w:rsidRPr="00403F07">
        <w:t xml:space="preserve"> or support innovation.</w:t>
      </w:r>
    </w:p>
    <w:p w:rsidR="00854E9D" w:rsidRPr="00BF002C" w:rsidRDefault="00854E9D" w:rsidP="00770904"/>
    <w:p w:rsidR="00854E9D" w:rsidRPr="00BF002C" w:rsidRDefault="00854E9D" w:rsidP="00770904">
      <w:r w:rsidRPr="00403F07">
        <w:t>Th</w:t>
      </w:r>
      <w:r>
        <w:t>is</w:t>
      </w:r>
      <w:r w:rsidRPr="00403F07">
        <w:t xml:space="preserve"> evaluation</w:t>
      </w:r>
      <w:r>
        <w:t>,</w:t>
      </w:r>
      <w:r w:rsidRPr="00403F07">
        <w:t xml:space="preserve"> as well as other documents</w:t>
      </w:r>
      <w:r>
        <w:t>,</w:t>
      </w:r>
      <w:r w:rsidRPr="00403F07">
        <w:t xml:space="preserve"> </w:t>
      </w:r>
      <w:r>
        <w:t>identifies the following weaknesses in</w:t>
      </w:r>
      <w:r w:rsidRPr="00403F07">
        <w:t xml:space="preserve"> the current legislation:</w:t>
      </w:r>
    </w:p>
    <w:p w:rsidR="00854E9D" w:rsidRPr="00BF002C" w:rsidRDefault="00854E9D" w:rsidP="00770904"/>
    <w:p w:rsidR="00854E9D" w:rsidRPr="00BF002C" w:rsidRDefault="00854E9D" w:rsidP="00770904">
      <w:pPr>
        <w:pStyle w:val="Subheading2"/>
        <w:rPr>
          <w:lang w:val="en-GB"/>
        </w:rPr>
      </w:pPr>
      <w:r w:rsidRPr="00403F07">
        <w:rPr>
          <w:lang w:val="en-GB"/>
        </w:rPr>
        <w:t>SME</w:t>
      </w:r>
      <w:r>
        <w:rPr>
          <w:lang w:val="en-GB"/>
        </w:rPr>
        <w:t>s</w:t>
      </w:r>
      <w:r w:rsidRPr="00403F07">
        <w:rPr>
          <w:lang w:val="en-GB"/>
        </w:rPr>
        <w:t xml:space="preserve"> </w:t>
      </w:r>
      <w:r w:rsidRPr="00C6046D">
        <w:rPr>
          <w:lang w:val="en-GB"/>
        </w:rPr>
        <w:t>–</w:t>
      </w:r>
      <w:r w:rsidRPr="00403F07">
        <w:rPr>
          <w:lang w:val="en-GB"/>
        </w:rPr>
        <w:t xml:space="preserve"> participation and success</w:t>
      </w:r>
    </w:p>
    <w:p w:rsidR="00854E9D" w:rsidRPr="00BF002C" w:rsidRDefault="00854E9D" w:rsidP="00770904">
      <w:r w:rsidRPr="00403F07">
        <w:t xml:space="preserve">The analysis of the participation and success rates in PP has shown that the share of SMEs participating in PP is still relatively low </w:t>
      </w:r>
      <w:r w:rsidRPr="00C6046D">
        <w:t>–</w:t>
      </w:r>
      <w:r w:rsidRPr="00403F07">
        <w:t xml:space="preserve"> especially </w:t>
      </w:r>
      <w:r>
        <w:t>compared</w:t>
      </w:r>
      <w:r w:rsidRPr="00403F07">
        <w:t xml:space="preserve"> to their overall economic power in the EU (</w:t>
      </w:r>
      <w:r>
        <w:t>60</w:t>
      </w:r>
      <w:r w:rsidRPr="00E332EB">
        <w:t xml:space="preserve">% of contracts won by SMEs between 2006 and 2008 </w:t>
      </w:r>
      <w:r>
        <w:t>the value of which accounted for just</w:t>
      </w:r>
      <w:r w:rsidRPr="00E332EB">
        <w:t xml:space="preserve"> 34 % of the total)</w:t>
      </w:r>
      <w:r w:rsidRPr="00E332EB">
        <w:rPr>
          <w:rStyle w:val="FootnoteReference"/>
        </w:rPr>
        <w:footnoteReference w:id="10"/>
      </w:r>
      <w:r w:rsidRPr="00E332EB">
        <w:t xml:space="preserve">. </w:t>
      </w:r>
      <w:r>
        <w:t>This is due to</w:t>
      </w:r>
      <w:r w:rsidRPr="00403F07">
        <w:t xml:space="preserve"> an </w:t>
      </w:r>
      <w:r w:rsidRPr="00E332EB">
        <w:t>unfavourable</w:t>
      </w:r>
      <w:r w:rsidRPr="00403F07">
        <w:t xml:space="preserve"> cost-benefit ratio when participating in tendering procedures. Moreover</w:t>
      </w:r>
      <w:r>
        <w:t>,</w:t>
      </w:r>
      <w:r w:rsidRPr="00403F07">
        <w:t xml:space="preserve"> t</w:t>
      </w:r>
      <w:r>
        <w:t>echnical and language</w:t>
      </w:r>
      <w:r w:rsidRPr="00403F07">
        <w:t xml:space="preserve"> capacities are very often limited.</w:t>
      </w:r>
    </w:p>
    <w:p w:rsidR="00854E9D" w:rsidRDefault="00854E9D" w:rsidP="00770904">
      <w:pPr>
        <w:pStyle w:val="Subheading2"/>
        <w:rPr>
          <w:lang w:val="en-GB"/>
        </w:rPr>
      </w:pPr>
    </w:p>
    <w:p w:rsidR="00854E9D" w:rsidRPr="00BF002C" w:rsidRDefault="00854E9D" w:rsidP="00770904">
      <w:pPr>
        <w:pStyle w:val="Subheading2"/>
        <w:rPr>
          <w:lang w:val="en-GB"/>
        </w:rPr>
      </w:pPr>
      <w:r w:rsidRPr="00403F07">
        <w:rPr>
          <w:lang w:val="en-GB"/>
        </w:rPr>
        <w:t xml:space="preserve">Utilities </w:t>
      </w:r>
    </w:p>
    <w:p w:rsidR="00854E9D" w:rsidRPr="00BF002C" w:rsidRDefault="00854E9D" w:rsidP="00770904">
      <w:r w:rsidRPr="00403F07">
        <w:t xml:space="preserve">Utility operators were brought under the PP regime on the grounds that, because they enjoy monopoly or special and exclusive rights, they could not be presumed to have the incentives to procure efficiently. The weakness in this respect </w:t>
      </w:r>
      <w:r>
        <w:t>is/was</w:t>
      </w:r>
      <w:r w:rsidRPr="00403F07">
        <w:t xml:space="preserve"> that a number of factors changed</w:t>
      </w:r>
      <w:r>
        <w:t>;</w:t>
      </w:r>
      <w:r w:rsidRPr="00403F07">
        <w:t xml:space="preserve"> the degree of liberalisation and privatisation, the extent of competition and the effectiveness of regulation</w:t>
      </w:r>
      <w:r>
        <w:rPr>
          <w:rStyle w:val="FootnoteReference"/>
        </w:rPr>
        <w:footnoteReference w:id="11"/>
      </w:r>
      <w:r w:rsidRPr="00403F07">
        <w:t xml:space="preserve">. Significant EU legislation has been adopted to liberalise market access </w:t>
      </w:r>
      <w:r>
        <w:t>in four sectors covered by the d</w:t>
      </w:r>
      <w:r w:rsidRPr="00403F07">
        <w:t xml:space="preserve">irective: electricity, gas, postal services and exploration for oil and (natural) gas. There has been less EU legislative </w:t>
      </w:r>
      <w:r>
        <w:t>activity to liberalise access to</w:t>
      </w:r>
      <w:r w:rsidRPr="00403F07">
        <w:t xml:space="preserve"> rail</w:t>
      </w:r>
      <w:r>
        <w:t xml:space="preserve"> or</w:t>
      </w:r>
      <w:r w:rsidRPr="00403F07">
        <w:t xml:space="preserve"> other land transport </w:t>
      </w:r>
      <w:r>
        <w:t xml:space="preserve">such as </w:t>
      </w:r>
      <w:r w:rsidRPr="00403F07">
        <w:t>bus</w:t>
      </w:r>
      <w:r>
        <w:t>es,</w:t>
      </w:r>
      <w:r w:rsidRPr="00403F07">
        <w:t xml:space="preserve"> </w:t>
      </w:r>
      <w:r>
        <w:t>as well as</w:t>
      </w:r>
      <w:r w:rsidRPr="00403F07">
        <w:t xml:space="preserve"> ports</w:t>
      </w:r>
      <w:r>
        <w:t>. There has been</w:t>
      </w:r>
      <w:r w:rsidRPr="00403F07">
        <w:t xml:space="preserve"> little or no direct action in the area of water, heat</w:t>
      </w:r>
      <w:r>
        <w:t>ing</w:t>
      </w:r>
      <w:r w:rsidRPr="00403F07">
        <w:t xml:space="preserve"> or airports. The liberalisation of air transport and ground-handling services has intensified competitive pressure on some airport operations. All </w:t>
      </w:r>
      <w:r>
        <w:t xml:space="preserve">of </w:t>
      </w:r>
      <w:r w:rsidRPr="00403F07">
        <w:t>these liberali</w:t>
      </w:r>
      <w:r>
        <w:t>s</w:t>
      </w:r>
      <w:r w:rsidRPr="00403F07">
        <w:t xml:space="preserve">ation steps have led to the conclusion that utilities </w:t>
      </w:r>
      <w:r>
        <w:t>may</w:t>
      </w:r>
      <w:r w:rsidRPr="00403F07">
        <w:t xml:space="preserve"> no longer </w:t>
      </w:r>
      <w:r>
        <w:t>have the status</w:t>
      </w:r>
      <w:r w:rsidRPr="00403F07">
        <w:t xml:space="preserve"> of natural monopolies and thus procurement in this field </w:t>
      </w:r>
      <w:r>
        <w:t>c</w:t>
      </w:r>
      <w:r w:rsidRPr="00403F07">
        <w:t>ould be adapted to the free market.</w:t>
      </w:r>
    </w:p>
    <w:p w:rsidR="00854E9D" w:rsidRPr="00BF002C" w:rsidRDefault="00854E9D" w:rsidP="00770904"/>
    <w:p w:rsidR="00854E9D" w:rsidRPr="00BF002C" w:rsidRDefault="00854E9D" w:rsidP="00770904">
      <w:pPr>
        <w:pStyle w:val="Subheading2"/>
        <w:rPr>
          <w:lang w:val="en-GB"/>
        </w:rPr>
      </w:pPr>
      <w:r w:rsidRPr="00403F07">
        <w:rPr>
          <w:lang w:val="en-GB"/>
        </w:rPr>
        <w:t>Cross-border procurement</w:t>
      </w:r>
    </w:p>
    <w:p w:rsidR="00854E9D" w:rsidRPr="00BF002C" w:rsidRDefault="00854E9D" w:rsidP="00770904">
      <w:r w:rsidRPr="00403F07">
        <w:t>One of the most crucial aspects whe</w:t>
      </w:r>
      <w:r>
        <w:t>n implementing the procurement d</w:t>
      </w:r>
      <w:r w:rsidRPr="00403F07">
        <w:t xml:space="preserve">irectives has been to increase the volatility of goods and services in the field of PP and to open </w:t>
      </w:r>
      <w:r>
        <w:t xml:space="preserve">up </w:t>
      </w:r>
      <w:r w:rsidRPr="00403F07">
        <w:t>markets. However the Evaluation Report on Impact and Effectiveness of the EU Procurement Legislation states that only a small proport</w:t>
      </w:r>
      <w:r>
        <w:t>ion of contracts are awarded to</w:t>
      </w:r>
      <w:r w:rsidRPr="00403F07">
        <w:t xml:space="preserve"> firms from another Member State (direct cross-b</w:t>
      </w:r>
      <w:r>
        <w:t xml:space="preserve">order procurement accounts </w:t>
      </w:r>
      <w:r w:rsidRPr="00403F07">
        <w:t>for</w:t>
      </w:r>
      <w:r>
        <w:t xml:space="preserve"> just</w:t>
      </w:r>
      <w:r w:rsidRPr="00403F07">
        <w:t xml:space="preserve"> 1.6% of total awards). The main obstacles faced by potential suppliers have been language barriers and unfamiliar or complicated formal requirements. It seems that supplies have the highest propensity to be traded cross-border, while services are facing more trade barriers across borders. This weakness is </w:t>
      </w:r>
      <w:r>
        <w:t>also seen</w:t>
      </w:r>
      <w:r w:rsidRPr="00403F07">
        <w:t xml:space="preserve"> in indirect cross-border procurement (</w:t>
      </w:r>
      <w:r>
        <w:t xml:space="preserve">i.e. firms bidding </w:t>
      </w:r>
      <w:r w:rsidRPr="00403F07">
        <w:t xml:space="preserve">for contracts through their foreign affiliates or subsidiaries), which </w:t>
      </w:r>
      <w:r>
        <w:t xml:space="preserve">again does not account for </w:t>
      </w:r>
      <w:r w:rsidRPr="00403F07">
        <w:t>a very high share of contracts awarded under PP.</w:t>
      </w:r>
    </w:p>
    <w:p w:rsidR="00854E9D" w:rsidRPr="00BF002C" w:rsidRDefault="00854E9D" w:rsidP="00770904"/>
    <w:p w:rsidR="00854E9D" w:rsidRPr="00BF002C" w:rsidRDefault="00854E9D" w:rsidP="00770904">
      <w:pPr>
        <w:pStyle w:val="Subheading2"/>
        <w:jc w:val="both"/>
        <w:rPr>
          <w:lang w:val="en-GB"/>
        </w:rPr>
      </w:pPr>
      <w:r w:rsidRPr="00403F07">
        <w:rPr>
          <w:lang w:val="en-GB"/>
        </w:rPr>
        <w:t>Use of procurement to support the achievement of other objectives</w:t>
      </w:r>
    </w:p>
    <w:p w:rsidR="00854E9D" w:rsidRPr="00BF002C" w:rsidRDefault="00854E9D" w:rsidP="00770904">
      <w:r w:rsidRPr="00403F07">
        <w:t xml:space="preserve"> In general</w:t>
      </w:r>
      <w:r>
        <w:t>,</w:t>
      </w:r>
      <w:r w:rsidRPr="00403F07">
        <w:t xml:space="preserve"> </w:t>
      </w:r>
      <w:r>
        <w:t>MS</w:t>
      </w:r>
      <w:r w:rsidRPr="00403F07">
        <w:t xml:space="preserve"> have adopted National Action Plans for Green or sustainable PP</w:t>
      </w:r>
      <w:bookmarkStart w:id="6" w:name="_Ref311486695"/>
      <w:r>
        <w:rPr>
          <w:rStyle w:val="FootnoteReference"/>
        </w:rPr>
        <w:footnoteReference w:id="12"/>
      </w:r>
      <w:bookmarkEnd w:id="6"/>
      <w:r>
        <w:t xml:space="preserve"> and many have set</w:t>
      </w:r>
      <w:r w:rsidRPr="00403F07">
        <w:t xml:space="preserve"> targets for some or all of</w:t>
      </w:r>
      <w:r>
        <w:t xml:space="preserve"> the</w:t>
      </w:r>
      <w:r w:rsidRPr="00403F07">
        <w:t xml:space="preserve"> priority product groups identified by the Commission</w:t>
      </w:r>
      <w:r>
        <w:rPr>
          <w:rStyle w:val="FootnoteReference"/>
        </w:rPr>
        <w:footnoteReference w:id="13"/>
      </w:r>
      <w:r w:rsidRPr="00403F07">
        <w:t xml:space="preserve">. It appears that the majority of </w:t>
      </w:r>
      <w:r>
        <w:t>CAs</w:t>
      </w:r>
      <w:r w:rsidRPr="00403F07">
        <w:t xml:space="preserve"> surveyed in 2010 seek to buy green, </w:t>
      </w:r>
      <w:r>
        <w:t>where</w:t>
      </w:r>
      <w:r w:rsidRPr="00403F07">
        <w:t xml:space="preserve"> this is feasible</w:t>
      </w:r>
      <w:r>
        <w:rPr>
          <w:rStyle w:val="FootnoteReference"/>
        </w:rPr>
        <w:footnoteReference w:id="14"/>
      </w:r>
      <w:r w:rsidRPr="00403F07">
        <w:t>. In general, where they do so, they obtain a greener outcome in</w:t>
      </w:r>
      <w:r>
        <w:t xml:space="preserve"> the final contract award. However,</w:t>
      </w:r>
      <w:r w:rsidRPr="00403F07">
        <w:t xml:space="preserve"> it has not yet been possible to estimate the extent to which these environmental requirements have had an actual measurable or differential impact on the environment. The main weakness in this context has been that incorporating these other policy objectives is generally perceived to increase the complexity of the procurement process and can require procurement staff to learn new skills and competences.</w:t>
      </w:r>
    </w:p>
    <w:p w:rsidR="00854E9D" w:rsidRPr="00BF002C" w:rsidRDefault="00854E9D" w:rsidP="00770904"/>
    <w:p w:rsidR="00854E9D" w:rsidRPr="00BF002C" w:rsidRDefault="00854E9D" w:rsidP="00770904">
      <w:r>
        <w:t xml:space="preserve">There is </w:t>
      </w:r>
      <w:r w:rsidRPr="00403F07">
        <w:t xml:space="preserve">very wide </w:t>
      </w:r>
      <w:r>
        <w:t xml:space="preserve">efficiency </w:t>
      </w:r>
      <w:r w:rsidRPr="00403F07">
        <w:t>variation across MS</w:t>
      </w:r>
      <w:r>
        <w:t>,</w:t>
      </w:r>
      <w:r w:rsidRPr="00403F07">
        <w:t xml:space="preserve"> </w:t>
      </w:r>
      <w:r>
        <w:t xml:space="preserve">particularly </w:t>
      </w:r>
      <w:r w:rsidRPr="00403F07">
        <w:t xml:space="preserve">in </w:t>
      </w:r>
      <w:r>
        <w:t xml:space="preserve">the </w:t>
      </w:r>
      <w:r w:rsidRPr="00403F07">
        <w:t>time and cost involved in running a procedure. The worst performers take several times as long as the best performers</w:t>
      </w:r>
      <w:r>
        <w:rPr>
          <w:rStyle w:val="FootnoteReference"/>
        </w:rPr>
        <w:footnoteReference w:id="15"/>
      </w:r>
      <w:r w:rsidRPr="00403F07">
        <w:t xml:space="preserve">. This suggests that the </w:t>
      </w:r>
      <w:r>
        <w:t>d</w:t>
      </w:r>
      <w:r w:rsidRPr="00403F07">
        <w:t xml:space="preserve">irectives support relatively efficient procurement practice but that some </w:t>
      </w:r>
      <w:r>
        <w:t>MS</w:t>
      </w:r>
      <w:r w:rsidRPr="00403F07">
        <w:t xml:space="preserve"> have considerable scope for improving the efficiency of their procurement administration. Generally</w:t>
      </w:r>
      <w:r>
        <w:t>,</w:t>
      </w:r>
      <w:r w:rsidRPr="00403F07">
        <w:t xml:space="preserve"> the </w:t>
      </w:r>
      <w:r>
        <w:t>d</w:t>
      </w:r>
      <w:r w:rsidRPr="00403F07">
        <w:t>irectives seem to have boosted openness and transparency</w:t>
      </w:r>
      <w:r>
        <w:t>,</w:t>
      </w:r>
      <w:r w:rsidRPr="00403F07">
        <w:t xml:space="preserve"> which</w:t>
      </w:r>
      <w:r>
        <w:t xml:space="preserve"> </w:t>
      </w:r>
      <w:r w:rsidRPr="00403F07">
        <w:t>ha</w:t>
      </w:r>
      <w:r>
        <w:t>ve</w:t>
      </w:r>
      <w:r w:rsidRPr="00403F07">
        <w:t xml:space="preserve"> triggered increased competition, and this in turn translates into savings</w:t>
      </w:r>
      <w:r>
        <w:rPr>
          <w:rStyle w:val="FootnoteReference"/>
        </w:rPr>
        <w:footnoteReference w:id="16"/>
      </w:r>
      <w:r w:rsidRPr="00403F07">
        <w:t>.</w:t>
      </w:r>
    </w:p>
    <w:p w:rsidR="00854E9D" w:rsidRPr="00BF002C" w:rsidRDefault="00854E9D" w:rsidP="00770904"/>
    <w:p w:rsidR="00854E9D" w:rsidRPr="00BF002C" w:rsidRDefault="00854E9D" w:rsidP="00770904"/>
    <w:p w:rsidR="00854E9D" w:rsidRPr="00E332EB" w:rsidRDefault="00854E9D" w:rsidP="00770904">
      <w:pPr>
        <w:pStyle w:val="Heading2"/>
      </w:pPr>
      <w:bookmarkStart w:id="7" w:name="_Toc189650449"/>
      <w:r w:rsidRPr="00E332EB">
        <w:t>2.2   Stakeholders’ demands</w:t>
      </w:r>
      <w:bookmarkEnd w:id="7"/>
    </w:p>
    <w:p w:rsidR="00854E9D" w:rsidRPr="00E332EB" w:rsidRDefault="00854E9D" w:rsidP="00770904"/>
    <w:p w:rsidR="00854E9D" w:rsidRPr="00E332EB" w:rsidRDefault="00854E9D" w:rsidP="00770904">
      <w:r w:rsidRPr="00E332EB">
        <w:t>Many stakeholders have demand</w:t>
      </w:r>
      <w:r>
        <w:t>ed a</w:t>
      </w:r>
      <w:r w:rsidRPr="00E332EB">
        <w:t xml:space="preserve"> review </w:t>
      </w:r>
      <w:r>
        <w:t xml:space="preserve">of </w:t>
      </w:r>
      <w:r w:rsidRPr="00E332EB">
        <w:t xml:space="preserve">EU PP legislation in order to increase </w:t>
      </w:r>
      <w:r>
        <w:t xml:space="preserve">the </w:t>
      </w:r>
      <w:r w:rsidRPr="00E332EB">
        <w:t>efficiency and effectiveness of the PP system. The following section addresses policy shortcomings and proposed remedies.</w:t>
      </w:r>
    </w:p>
    <w:p w:rsidR="00854E9D" w:rsidRPr="00E332EB" w:rsidRDefault="00854E9D" w:rsidP="00770904"/>
    <w:p w:rsidR="00854E9D" w:rsidRPr="00E332EB" w:rsidRDefault="00854E9D" w:rsidP="00770904">
      <w:pPr>
        <w:pStyle w:val="Subheading2"/>
        <w:rPr>
          <w:lang w:val="en-GB"/>
        </w:rPr>
      </w:pPr>
      <w:r w:rsidRPr="00403F07">
        <w:rPr>
          <w:lang w:val="en-GB"/>
        </w:rPr>
        <w:t>Legal certainty</w:t>
      </w:r>
    </w:p>
    <w:p w:rsidR="00854E9D" w:rsidRDefault="00854E9D" w:rsidP="00770904">
      <w:r w:rsidRPr="00403F07">
        <w:t>The PP rules and procedures</w:t>
      </w:r>
      <w:r>
        <w:t>,</w:t>
      </w:r>
      <w:r w:rsidRPr="00403F07">
        <w:t xml:space="preserve"> as specified in the legislative framework</w:t>
      </w:r>
      <w:r>
        <w:t>,</w:t>
      </w:r>
      <w:r w:rsidRPr="00403F07">
        <w:t xml:space="preserve"> </w:t>
      </w:r>
      <w:r>
        <w:t>allow</w:t>
      </w:r>
      <w:r w:rsidRPr="00403F07">
        <w:t xml:space="preserve"> </w:t>
      </w:r>
      <w:r>
        <w:t xml:space="preserve">a </w:t>
      </w:r>
      <w:r w:rsidRPr="00403F07">
        <w:t xml:space="preserve">certain leeway </w:t>
      </w:r>
      <w:r>
        <w:t>f</w:t>
      </w:r>
      <w:r w:rsidRPr="00403F07">
        <w:t>o</w:t>
      </w:r>
      <w:r>
        <w:t>r</w:t>
      </w:r>
      <w:r w:rsidRPr="00403F07">
        <w:t xml:space="preserve"> interpretation. </w:t>
      </w:r>
      <w:r>
        <w:t xml:space="preserve">In its Green Paper, the Commission proposed refining certain notions and concepts in the fields of purchasing activities, public contracts and public purchasers to ensure more legal certainty </w:t>
      </w:r>
      <w:r w:rsidRPr="00E332EB">
        <w:t xml:space="preserve">for the </w:t>
      </w:r>
      <w:r>
        <w:t>CAs</w:t>
      </w:r>
      <w:r w:rsidRPr="00E332EB">
        <w:t xml:space="preserve">. </w:t>
      </w:r>
    </w:p>
    <w:p w:rsidR="00854E9D" w:rsidRDefault="00854E9D" w:rsidP="00770904"/>
    <w:p w:rsidR="00854E9D" w:rsidRPr="00E332EB" w:rsidRDefault="00854E9D" w:rsidP="00770904">
      <w:r>
        <w:t xml:space="preserve">According to their responses during the consultation, stakeholders generally consider the existing concepts and structures to be appropriate. </w:t>
      </w:r>
      <w:r w:rsidRPr="00403F07">
        <w:t>Nevertheless</w:t>
      </w:r>
      <w:r>
        <w:t>,</w:t>
      </w:r>
      <w:r w:rsidRPr="00403F07">
        <w:t xml:space="preserve"> they support a clarification of the concept of </w:t>
      </w:r>
      <w:r>
        <w:t>‘</w:t>
      </w:r>
      <w:r w:rsidRPr="00403F07">
        <w:t>body governed by public law</w:t>
      </w:r>
      <w:r>
        <w:t>’</w:t>
      </w:r>
      <w:r w:rsidRPr="00403F07">
        <w:t xml:space="preserve"> and a simplification of the </w:t>
      </w:r>
      <w:r>
        <w:t>‘</w:t>
      </w:r>
      <w:r w:rsidRPr="00403F07">
        <w:t>works contract</w:t>
      </w:r>
      <w:r>
        <w:t>’</w:t>
      </w:r>
      <w:r w:rsidRPr="00403F07">
        <w:t xml:space="preserve">. </w:t>
      </w:r>
      <w:r>
        <w:t>There is dissent regarding the need to review the distinction between A and B services and an increase of the thresholds set in the directives. Stakeholders ask that the scope of PP directives be explicitly limited to actual purchases by the CAs, and that specific rules applicable to public utilities operators be retained</w:t>
      </w:r>
      <w:r>
        <w:rPr>
          <w:rStyle w:val="FootnoteReference"/>
        </w:rPr>
        <w:footnoteReference w:id="17"/>
      </w:r>
      <w:r w:rsidRPr="00403F07">
        <w:t xml:space="preserve">. </w:t>
      </w:r>
    </w:p>
    <w:p w:rsidR="00854E9D" w:rsidRPr="00E332EB" w:rsidRDefault="00854E9D" w:rsidP="00770904"/>
    <w:p w:rsidR="00854E9D" w:rsidRPr="00E332EB" w:rsidRDefault="00854E9D" w:rsidP="00770904">
      <w:pPr>
        <w:pStyle w:val="Subheading2"/>
        <w:rPr>
          <w:lang w:val="en-GB"/>
        </w:rPr>
      </w:pPr>
      <w:r w:rsidRPr="00403F07">
        <w:rPr>
          <w:lang w:val="en-GB"/>
        </w:rPr>
        <w:t xml:space="preserve">Efficiency </w:t>
      </w:r>
    </w:p>
    <w:p w:rsidR="00854E9D" w:rsidRDefault="00854E9D" w:rsidP="00770904">
      <w:r w:rsidRPr="00403F07">
        <w:t xml:space="preserve">Increasing public spending efficiency is the main aim of the </w:t>
      </w:r>
      <w:r>
        <w:t>Commission</w:t>
      </w:r>
      <w:r w:rsidRPr="00403F07">
        <w:t xml:space="preserve"> initiative r</w:t>
      </w:r>
      <w:r>
        <w:t>evising</w:t>
      </w:r>
      <w:r w:rsidRPr="00403F07">
        <w:t xml:space="preserve"> existing PP legislation. To </w:t>
      </w:r>
      <w:r>
        <w:t>achieve</w:t>
      </w:r>
      <w:r w:rsidRPr="00403F07">
        <w:t xml:space="preserve"> this goal, the Green Paper </w:t>
      </w:r>
      <w:r>
        <w:t>suggests adapting regulatory instruments to the purchasing needs of CAs by modernising procedures, developing specific instruments for small contracting authorities, adapting the scope and conditions of public-public cooperation, developing instruments for joint procurement and introducing provisions addressing contract execution.</w:t>
      </w:r>
    </w:p>
    <w:p w:rsidR="00854E9D" w:rsidRPr="00E332EB" w:rsidRDefault="00854E9D" w:rsidP="00770904"/>
    <w:p w:rsidR="00854E9D" w:rsidRPr="00E332EB" w:rsidRDefault="00854E9D" w:rsidP="00770904">
      <w:r>
        <w:t>In summary, stakeholders</w:t>
      </w:r>
      <w:r w:rsidRPr="006F11C4">
        <w:t xml:space="preserve"> </w:t>
      </w:r>
      <w:r>
        <w:t>support</w:t>
      </w:r>
      <w:r w:rsidRPr="006F11C4">
        <w:t xml:space="preserve"> the</w:t>
      </w:r>
      <w:r w:rsidRPr="00403F07">
        <w:t xml:space="preserve"> simplification of procedures and the need to make them more flexible</w:t>
      </w:r>
      <w:r>
        <w:rPr>
          <w:rStyle w:val="FootnoteReference"/>
        </w:rPr>
        <w:footnoteReference w:id="18"/>
      </w:r>
      <w:r>
        <w:t>. E</w:t>
      </w:r>
      <w:r w:rsidRPr="00403F07">
        <w:t xml:space="preserve">mphasized </w:t>
      </w:r>
      <w:r>
        <w:t xml:space="preserve">in particular </w:t>
      </w:r>
      <w:r w:rsidRPr="00403F07">
        <w:t>is the need for general acceptance of the negotiated procedure with prior public</w:t>
      </w:r>
      <w:r>
        <w:t>ation of a contract notice. Furthermore</w:t>
      </w:r>
      <w:r w:rsidRPr="00403F07">
        <w:t>, stakeholders are in favour of allowing contract authorities to explicitly take past performance of the bidder into account, and of allowing a stronger aggregation o</w:t>
      </w:r>
      <w:r>
        <w:t>f demand in some areas. R</w:t>
      </w:r>
      <w:r w:rsidRPr="00403F07">
        <w:t>espondents are</w:t>
      </w:r>
      <w:r>
        <w:t xml:space="preserve"> therefore</w:t>
      </w:r>
      <w:r w:rsidRPr="00403F07">
        <w:t xml:space="preserve"> aware of the associated risk of favouritism and discrimination. Reactions to the </w:t>
      </w:r>
      <w:r>
        <w:t>Commission’s</w:t>
      </w:r>
      <w:r w:rsidRPr="00403F07">
        <w:t xml:space="preserve"> proposed lighter procedural framework for LRAs </w:t>
      </w:r>
      <w:r>
        <w:t>was mixed</w:t>
      </w:r>
      <w:r w:rsidRPr="00403F07">
        <w:t xml:space="preserve">, whereas a majority supported the development of clarifying provisions on public-public cooperation and on </w:t>
      </w:r>
      <w:r>
        <w:t xml:space="preserve">the </w:t>
      </w:r>
      <w:r w:rsidRPr="00403F07">
        <w:t xml:space="preserve">consequences of contract modifications during its execution. </w:t>
      </w:r>
    </w:p>
    <w:p w:rsidR="00854E9D" w:rsidRPr="00E332EB" w:rsidRDefault="00854E9D" w:rsidP="00770904"/>
    <w:p w:rsidR="00854E9D" w:rsidRPr="00E332EB" w:rsidRDefault="00854E9D" w:rsidP="00770904">
      <w:pPr>
        <w:pStyle w:val="Subheading2"/>
        <w:rPr>
          <w:lang w:val="en-GB"/>
        </w:rPr>
      </w:pPr>
      <w:r w:rsidRPr="00403F07">
        <w:rPr>
          <w:lang w:val="en-GB"/>
        </w:rPr>
        <w:t>Accessibility</w:t>
      </w:r>
    </w:p>
    <w:p w:rsidR="00854E9D" w:rsidRDefault="00854E9D" w:rsidP="00770904">
      <w:r w:rsidRPr="00403F07">
        <w:t xml:space="preserve">The review of PP policy is also driven by the </w:t>
      </w:r>
      <w:r>
        <w:t>Commission’</w:t>
      </w:r>
      <w:r w:rsidRPr="00403F07">
        <w:t xml:space="preserve">s concerns </w:t>
      </w:r>
      <w:r>
        <w:t>regarding</w:t>
      </w:r>
      <w:r w:rsidRPr="00403F07">
        <w:t xml:space="preserve"> the accessibility of the European procurement market. Generating strong competition and streamlining procurement procedures </w:t>
      </w:r>
      <w:r>
        <w:t>should</w:t>
      </w:r>
      <w:r w:rsidRPr="00403F07">
        <w:t xml:space="preserve"> benefit small </w:t>
      </w:r>
      <w:r>
        <w:t>CAs</w:t>
      </w:r>
      <w:r w:rsidRPr="00403F07">
        <w:t xml:space="preserve"> and encourage cross-border procurement.</w:t>
      </w:r>
      <w:r>
        <w:t xml:space="preserve"> </w:t>
      </w:r>
    </w:p>
    <w:p w:rsidR="00854E9D" w:rsidRDefault="00854E9D" w:rsidP="00770904"/>
    <w:p w:rsidR="00854E9D" w:rsidRPr="00E332EB" w:rsidRDefault="00854E9D" w:rsidP="00770904">
      <w:r w:rsidRPr="00403F07">
        <w:t>First and foremost</w:t>
      </w:r>
      <w:r>
        <w:t>,</w:t>
      </w:r>
      <w:r w:rsidRPr="00403F07">
        <w:t xml:space="preserve"> stakeholders support the proposed measures to decrease the administrative burden relat</w:t>
      </w:r>
      <w:r>
        <w:t>ing</w:t>
      </w:r>
      <w:r w:rsidRPr="00403F07">
        <w:t xml:space="preserve"> to the choice of bidder, in particular the introduction of a rule </w:t>
      </w:r>
      <w:r>
        <w:t>according to which</w:t>
      </w:r>
      <w:r w:rsidRPr="00403F07">
        <w:t xml:space="preserve"> certificates may only be required from the successful bidder. The introduction of coercive measures of positive discrimination in relation to </w:t>
      </w:r>
      <w:r w:rsidRPr="00B86E2E">
        <w:t>SMEs</w:t>
      </w:r>
      <w:r w:rsidRPr="00E332EB">
        <w:t xml:space="preserve"> is unpopular.</w:t>
      </w:r>
      <w:r>
        <w:t xml:space="preserve"> </w:t>
      </w:r>
      <w:r w:rsidRPr="00E332EB">
        <w:t>The need to strengthen competition and encourage cross-border participation is also ac</w:t>
      </w:r>
      <w:r>
        <w:t>knowledged. Whereas specific EU-level instruments, such as the requirement to draw</w:t>
      </w:r>
      <w:r w:rsidRPr="00E332EB">
        <w:t xml:space="preserve"> up tenders in a second language</w:t>
      </w:r>
      <w:r>
        <w:t>,</w:t>
      </w:r>
      <w:r w:rsidRPr="00E332EB">
        <w:t xml:space="preserve"> are rejected, ideas for better coordination and recognition of certificates across borders receive support. </w:t>
      </w:r>
    </w:p>
    <w:p w:rsidR="00854E9D" w:rsidRPr="00E332EB" w:rsidRDefault="00854E9D" w:rsidP="00770904"/>
    <w:p w:rsidR="00854E9D" w:rsidRPr="00E332EB" w:rsidRDefault="00854E9D" w:rsidP="00770904">
      <w:pPr>
        <w:pStyle w:val="Subheading2"/>
        <w:rPr>
          <w:lang w:val="en-GB"/>
        </w:rPr>
      </w:pPr>
      <w:r w:rsidRPr="00403F07">
        <w:rPr>
          <w:lang w:val="en-GB"/>
        </w:rPr>
        <w:t xml:space="preserve">Strategic use </w:t>
      </w:r>
    </w:p>
    <w:p w:rsidR="00854E9D" w:rsidRDefault="00854E9D" w:rsidP="00770904">
      <w:r w:rsidRPr="00403F07">
        <w:t>The purchasing power of public authorities can contribute to achieving the Europe 2020 strategy goals. Hence one objective of the EC</w:t>
      </w:r>
      <w:r w:rsidRPr="00C6046D">
        <w:t>’</w:t>
      </w:r>
      <w:r>
        <w:t>s review</w:t>
      </w:r>
      <w:r w:rsidRPr="00403F07">
        <w:t xml:space="preserve"> process is to raise the issue of PP (</w:t>
      </w:r>
      <w:r>
        <w:t>‘</w:t>
      </w:r>
      <w:r w:rsidRPr="00403F07">
        <w:t>how to buy?</w:t>
      </w:r>
      <w:r>
        <w:t>’</w:t>
      </w:r>
      <w:r w:rsidRPr="00403F07">
        <w:t xml:space="preserve"> and </w:t>
      </w:r>
      <w:r>
        <w:t>‘</w:t>
      </w:r>
      <w:r w:rsidRPr="00403F07">
        <w:t>what to buy?</w:t>
      </w:r>
      <w:r>
        <w:t>’</w:t>
      </w:r>
      <w:r w:rsidRPr="00403F07">
        <w:t>) in support of common societal goals: promoting social inclusion, innovation and protection of the environment.</w:t>
      </w:r>
      <w:r>
        <w:t xml:space="preserve"> </w:t>
      </w:r>
    </w:p>
    <w:p w:rsidR="00854E9D" w:rsidRDefault="00854E9D" w:rsidP="00770904"/>
    <w:p w:rsidR="00854E9D" w:rsidRPr="00E332EB" w:rsidRDefault="00854E9D" w:rsidP="00770904">
      <w:r>
        <w:t>Some LRA associations</w:t>
      </w:r>
      <w:r w:rsidRPr="00403F07">
        <w:t xml:space="preserve"> are against obligations to buy high societal value products and services</w:t>
      </w:r>
      <w:bookmarkStart w:id="8" w:name="_Ref311486183"/>
      <w:r>
        <w:rPr>
          <w:rStyle w:val="FootnoteReference"/>
        </w:rPr>
        <w:footnoteReference w:id="19"/>
      </w:r>
      <w:bookmarkEnd w:id="8"/>
      <w:r w:rsidRPr="00403F07">
        <w:t xml:space="preserve">. They fear too much interference, increased complexity and </w:t>
      </w:r>
      <w:r>
        <w:t xml:space="preserve">higher </w:t>
      </w:r>
      <w:r w:rsidRPr="00403F07">
        <w:t xml:space="preserve">prices </w:t>
      </w:r>
      <w:r>
        <w:t>creating</w:t>
      </w:r>
      <w:r w:rsidRPr="00403F07">
        <w:t xml:space="preserve"> barriers for SMEs. </w:t>
      </w:r>
      <w:r>
        <w:t>A</w:t>
      </w:r>
      <w:r w:rsidRPr="00403F07">
        <w:t>ttitude</w:t>
      </w:r>
      <w:r>
        <w:t>s</w:t>
      </w:r>
      <w:r w:rsidRPr="00403F07">
        <w:t xml:space="preserve"> </w:t>
      </w:r>
      <w:r>
        <w:t xml:space="preserve">vary </w:t>
      </w:r>
      <w:r w:rsidRPr="00403F07">
        <w:t xml:space="preserve">among the stakeholder groups towards the </w:t>
      </w:r>
      <w:r>
        <w:t>EC’s proposal t</w:t>
      </w:r>
      <w:r w:rsidRPr="00403F07">
        <w:t>o enable public procurers t</w:t>
      </w:r>
      <w:r>
        <w:t>o take into account factors such as</w:t>
      </w:r>
      <w:r w:rsidRPr="00403F07">
        <w:t xml:space="preserve"> corporate social responsibility etc. when choosing a bidder. An overall majority</w:t>
      </w:r>
      <w:r>
        <w:t>,</w:t>
      </w:r>
      <w:r w:rsidRPr="00403F07">
        <w:t xml:space="preserve"> however, is in favour of maintaining the link with the subject matter of the contract.</w:t>
      </w:r>
      <w:r>
        <w:t xml:space="preserve"> </w:t>
      </w:r>
      <w:r w:rsidRPr="00403F07">
        <w:t>To stimulate innovation through PP, stakeholders recommend greater use of pr</w:t>
      </w:r>
      <w:r>
        <w:t>ocedures such as</w:t>
      </w:r>
      <w:r w:rsidRPr="00403F07">
        <w:t xml:space="preserve"> competitive dialogue, design contest</w:t>
      </w:r>
      <w:r>
        <w:t>s</w:t>
      </w:r>
      <w:r w:rsidRPr="00403F07">
        <w:t xml:space="preserve"> and negotiated procedure</w:t>
      </w:r>
      <w:r>
        <w:t>s,</w:t>
      </w:r>
      <w:r w:rsidRPr="00403F07">
        <w:t xml:space="preserve"> as well as </w:t>
      </w:r>
      <w:r>
        <w:t xml:space="preserve">the </w:t>
      </w:r>
      <w:r w:rsidRPr="00403F07">
        <w:t xml:space="preserve">sharing of best practices </w:t>
      </w:r>
      <w:r>
        <w:t xml:space="preserve">amongst </w:t>
      </w:r>
      <w:r w:rsidRPr="00403F07">
        <w:t>MS</w:t>
      </w:r>
      <w:r>
        <w:t>s</w:t>
      </w:r>
      <w:r w:rsidRPr="00403F07">
        <w:t xml:space="preserve">. Possible adaptations of the current rules to take better account of </w:t>
      </w:r>
      <w:r>
        <w:t>specific characteristics of social services pro</w:t>
      </w:r>
      <w:r w:rsidRPr="00403F07">
        <w:t>voked mixed reactions.</w:t>
      </w:r>
      <w:r>
        <w:t xml:space="preserve"> </w:t>
      </w:r>
      <w:r w:rsidRPr="00403F07">
        <w:t>Responses to th</w:t>
      </w:r>
      <w:r>
        <w:t>ese</w:t>
      </w:r>
      <w:r w:rsidRPr="00403F07">
        <w:t xml:space="preserve"> aspects show a clear dividing line between business and </w:t>
      </w:r>
      <w:r>
        <w:t>CAs</w:t>
      </w:r>
      <w:r w:rsidRPr="00403F07">
        <w:t xml:space="preserve"> on the one hand and civil society on the other.</w:t>
      </w:r>
    </w:p>
    <w:p w:rsidR="00854E9D" w:rsidRPr="00E332EB" w:rsidRDefault="00854E9D" w:rsidP="00770904"/>
    <w:p w:rsidR="00854E9D" w:rsidRPr="00E332EB" w:rsidRDefault="00854E9D" w:rsidP="00770904">
      <w:pPr>
        <w:pStyle w:val="Subheading2"/>
        <w:rPr>
          <w:lang w:val="en-GB"/>
        </w:rPr>
      </w:pPr>
      <w:r w:rsidRPr="00403F07">
        <w:rPr>
          <w:lang w:val="en-GB"/>
        </w:rPr>
        <w:t>Sound procedures</w:t>
      </w:r>
    </w:p>
    <w:p w:rsidR="00854E9D" w:rsidRDefault="00854E9D" w:rsidP="00770904">
      <w:r>
        <w:t>The Commission sees room for improvement in the legislation to ensure sound procedures, especially to include more specific rules to prevent and sanction conflicts of interest, penalise favouritism and corruption and include guarantees against unsound business practices.</w:t>
      </w:r>
    </w:p>
    <w:p w:rsidR="00854E9D" w:rsidRDefault="00854E9D" w:rsidP="00770904"/>
    <w:p w:rsidR="00854E9D" w:rsidRDefault="00854E9D" w:rsidP="00770904">
      <w:r>
        <w:t>Reactions vary amongst stakeholders. In general, the majority believes that the EU rules on these matters are sufficient but would benefit from definitions of concepts, such as ‘conflicts of interest’ and ‘professional misconduct’, as well as reinforced transparency in the bidding process.</w:t>
      </w:r>
    </w:p>
    <w:p w:rsidR="00854E9D" w:rsidRDefault="00854E9D" w:rsidP="00770904">
      <w:pPr>
        <w:jc w:val="left"/>
      </w:pPr>
      <w:r>
        <w:br w:type="page"/>
      </w:r>
    </w:p>
    <w:p w:rsidR="00854E9D" w:rsidRPr="00E332EB" w:rsidRDefault="00854E9D" w:rsidP="00770904">
      <w:pPr>
        <w:pStyle w:val="Heading1"/>
      </w:pPr>
      <w:bookmarkStart w:id="9" w:name="_Toc189650450"/>
      <w:r>
        <w:t>From the re</w:t>
      </w:r>
      <w:r w:rsidRPr="00403F07">
        <w:t>gion</w:t>
      </w:r>
      <w:r>
        <w:t>al and local perspective</w:t>
      </w:r>
      <w:bookmarkEnd w:id="9"/>
    </w:p>
    <w:p w:rsidR="00854E9D" w:rsidRPr="00E332EB" w:rsidRDefault="00854E9D" w:rsidP="00770904"/>
    <w:p w:rsidR="00854E9D" w:rsidRPr="00B86E2E" w:rsidRDefault="00854E9D" w:rsidP="00770904">
      <w:pPr>
        <w:widowControl w:val="0"/>
        <w:autoSpaceDE w:val="0"/>
        <w:autoSpaceDN w:val="0"/>
        <w:adjustRightInd w:val="0"/>
      </w:pPr>
      <w:r>
        <w:t xml:space="preserve">In the consultation on the Green Paper, LRAs welcome the Commission’s intention to </w:t>
      </w:r>
      <w:r w:rsidRPr="00AB2FCF">
        <w:t>reform the directives</w:t>
      </w:r>
      <w:r>
        <w:t xml:space="preserve"> and agree with the Commission on the importance of PP as one of the 12 levers for boosting growth and strengthen confidence as laid out in the Single Market Act</w:t>
      </w:r>
      <w:r w:rsidRPr="00B86E2E">
        <w:rPr>
          <w:rStyle w:val="FootnoteReference"/>
        </w:rPr>
        <w:footnoteReference w:id="20"/>
      </w:r>
      <w:r w:rsidRPr="00B86E2E">
        <w:t>.</w:t>
      </w:r>
    </w:p>
    <w:p w:rsidR="00854E9D" w:rsidRPr="00B86E2E" w:rsidRDefault="00854E9D" w:rsidP="00770904">
      <w:pPr>
        <w:widowControl w:val="0"/>
        <w:autoSpaceDE w:val="0"/>
        <w:autoSpaceDN w:val="0"/>
        <w:adjustRightInd w:val="0"/>
      </w:pPr>
    </w:p>
    <w:p w:rsidR="00854E9D" w:rsidRPr="00BF002C" w:rsidRDefault="00854E9D" w:rsidP="00770904">
      <w:pPr>
        <w:widowControl w:val="0"/>
        <w:autoSpaceDE w:val="0"/>
        <w:autoSpaceDN w:val="0"/>
        <w:adjustRightInd w:val="0"/>
      </w:pPr>
      <w:r w:rsidRPr="00B86E2E">
        <w:t xml:space="preserve">This section </w:t>
      </w:r>
      <w:r>
        <w:t>contains</w:t>
      </w:r>
      <w:r w:rsidRPr="00B86E2E">
        <w:t xml:space="preserve"> a synthesis of the most relevant issues for LRAs </w:t>
      </w:r>
      <w:r>
        <w:rPr>
          <w:shd w:val="clear" w:color="auto" w:fill="FFFFFF"/>
        </w:rPr>
        <w:t>in</w:t>
      </w:r>
      <w:r w:rsidRPr="00B86E2E">
        <w:rPr>
          <w:shd w:val="clear" w:color="auto" w:fill="FFFFFF"/>
        </w:rPr>
        <w:t xml:space="preserve"> the </w:t>
      </w:r>
      <w:r w:rsidRPr="00B86E2E">
        <w:rPr>
          <w:rFonts w:ascii="Times" w:hAnsi="Times" w:cs="Times"/>
          <w:shd w:val="clear" w:color="auto" w:fill="FFFFFF"/>
        </w:rPr>
        <w:t>new proposal</w:t>
      </w:r>
      <w:r w:rsidRPr="00B86E2E">
        <w:rPr>
          <w:rFonts w:ascii="Times" w:hAnsi="Times" w:cs="Times"/>
        </w:rPr>
        <w:t xml:space="preserve"> concerning public procurement in general - COM(2011) 896 final (‘the proposal’)</w:t>
      </w:r>
      <w:r>
        <w:t>. Issues</w:t>
      </w:r>
      <w:r w:rsidRPr="00403F07">
        <w:t xml:space="preserve"> have been </w:t>
      </w:r>
      <w:r>
        <w:t>differentiated</w:t>
      </w:r>
      <w:r w:rsidRPr="00403F07">
        <w:t xml:space="preserve"> on the basis of the </w:t>
      </w:r>
      <w:r>
        <w:t xml:space="preserve">potential </w:t>
      </w:r>
      <w:r w:rsidRPr="00403F07">
        <w:t>degree of</w:t>
      </w:r>
      <w:r>
        <w:t xml:space="preserve"> satisfaction/dissatisfaction of LRAs, assumed on the basis of positions expressed so far </w:t>
      </w:r>
      <w:r>
        <w:rPr>
          <w:lang w:val="fr-BE"/>
        </w:rPr>
        <w:t xml:space="preserve">including </w:t>
      </w:r>
      <w:r>
        <w:t>o</w:t>
      </w:r>
      <w:r w:rsidRPr="00B86E2E">
        <w:t xml:space="preserve">pinions from </w:t>
      </w:r>
      <w:r>
        <w:t xml:space="preserve">the </w:t>
      </w:r>
      <w:r w:rsidRPr="00B86E2E">
        <w:t>CoR (as a representative of the local and regional authorities), associations of LRAs (</w:t>
      </w:r>
      <w:r>
        <w:t xml:space="preserve">such as </w:t>
      </w:r>
      <w:r w:rsidRPr="00B86E2E">
        <w:t xml:space="preserve">CEMR, </w:t>
      </w:r>
      <w:r>
        <w:t>Eurocities</w:t>
      </w:r>
      <w:r w:rsidRPr="00B86E2E">
        <w:t xml:space="preserve">, etc.) and individual regions as expressed in various relevant documents, </w:t>
      </w:r>
      <w:r>
        <w:t xml:space="preserve">such as </w:t>
      </w:r>
      <w:r w:rsidRPr="00B86E2E">
        <w:t xml:space="preserve">replies to </w:t>
      </w:r>
      <w:r>
        <w:t xml:space="preserve">Commission </w:t>
      </w:r>
      <w:r w:rsidRPr="00B86E2E">
        <w:t>consultation</w:t>
      </w:r>
      <w:r w:rsidRPr="00403F07">
        <w:t xml:space="preserve"> and conferences/seminars</w:t>
      </w:r>
      <w:r>
        <w:t xml:space="preserve"> compared to specific articles of the proposal</w:t>
      </w:r>
      <w:r w:rsidRPr="00403F07">
        <w:t xml:space="preserve">. Relevant </w:t>
      </w:r>
      <w:r>
        <w:t>issues regarding which LRAs</w:t>
      </w:r>
      <w:r>
        <w:rPr>
          <w:rStyle w:val="FootnoteReference"/>
        </w:rPr>
        <w:footnoteReference w:id="21"/>
      </w:r>
      <w:r>
        <w:t xml:space="preserve"> are likely to be satisfied with are in</w:t>
      </w:r>
      <w:r w:rsidRPr="00403F07">
        <w:t xml:space="preserve"> sub-section 3.1</w:t>
      </w:r>
      <w:r>
        <w:t xml:space="preserve"> (positive)</w:t>
      </w:r>
      <w:r w:rsidRPr="00403F07">
        <w:t xml:space="preserve">. Other issues </w:t>
      </w:r>
      <w:r>
        <w:t>on which</w:t>
      </w:r>
      <w:r w:rsidRPr="00403F07">
        <w:t xml:space="preserve"> substantial </w:t>
      </w:r>
      <w:r>
        <w:t>disagreement</w:t>
      </w:r>
      <w:r w:rsidRPr="00403F07">
        <w:t xml:space="preserve"> </w:t>
      </w:r>
      <w:r>
        <w:t xml:space="preserve">is likely to arise </w:t>
      </w:r>
      <w:r w:rsidRPr="00403F07">
        <w:t xml:space="preserve">have been included </w:t>
      </w:r>
      <w:r>
        <w:t>i</w:t>
      </w:r>
      <w:r w:rsidRPr="00403F07">
        <w:t>n sub-section 3.2</w:t>
      </w:r>
      <w:r>
        <w:t xml:space="preserve"> (negative)</w:t>
      </w:r>
      <w:r w:rsidRPr="00403F07">
        <w:t>.</w:t>
      </w:r>
    </w:p>
    <w:p w:rsidR="00854E9D" w:rsidRPr="00E332EB" w:rsidRDefault="00854E9D" w:rsidP="00770904"/>
    <w:p w:rsidR="00854E9D" w:rsidRPr="00E332EB" w:rsidRDefault="00854E9D" w:rsidP="00770904"/>
    <w:p w:rsidR="00854E9D" w:rsidRPr="00E332EB" w:rsidRDefault="00854E9D" w:rsidP="00770904">
      <w:pPr>
        <w:pStyle w:val="Heading2"/>
      </w:pPr>
      <w:bookmarkStart w:id="10" w:name="_Toc189650451"/>
      <w:r w:rsidRPr="00E332EB">
        <w:t xml:space="preserve">3.1   </w:t>
      </w:r>
      <w:r>
        <w:t>Aspects of the proposals that could be seen positively by LRAs</w:t>
      </w:r>
      <w:bookmarkEnd w:id="10"/>
    </w:p>
    <w:p w:rsidR="00854E9D" w:rsidRPr="00E332EB" w:rsidRDefault="00854E9D" w:rsidP="00770904"/>
    <w:p w:rsidR="00854E9D" w:rsidRPr="003537F0" w:rsidRDefault="00854E9D" w:rsidP="00770904">
      <w:pPr>
        <w:autoSpaceDE w:val="0"/>
        <w:autoSpaceDN w:val="0"/>
        <w:adjustRightInd w:val="0"/>
        <w:jc w:val="left"/>
        <w:rPr>
          <w:b/>
          <w:bCs/>
          <w:i/>
          <w:iCs/>
        </w:rPr>
      </w:pPr>
      <w:r>
        <w:rPr>
          <w:b/>
          <w:bCs/>
        </w:rPr>
        <w:t>Scope of the d</w:t>
      </w:r>
      <w:r w:rsidRPr="0019751E">
        <w:rPr>
          <w:b/>
          <w:bCs/>
        </w:rPr>
        <w:t xml:space="preserve">irectives </w:t>
      </w:r>
      <w:r w:rsidRPr="003537F0">
        <w:rPr>
          <w:b/>
          <w:bCs/>
          <w:i/>
          <w:iCs/>
        </w:rPr>
        <w:t>(</w:t>
      </w:r>
      <w:r>
        <w:rPr>
          <w:b/>
          <w:bCs/>
          <w:i/>
          <w:iCs/>
          <w:lang w:eastAsia="zh-CN"/>
        </w:rPr>
        <w:t xml:space="preserve">Article 1: Subject </w:t>
      </w:r>
      <w:r w:rsidRPr="003537F0">
        <w:rPr>
          <w:b/>
          <w:bCs/>
          <w:i/>
          <w:iCs/>
          <w:lang w:eastAsia="zh-CN"/>
        </w:rPr>
        <w:t>matter and scope)</w:t>
      </w:r>
    </w:p>
    <w:p w:rsidR="00854E9D" w:rsidRPr="00E332EB" w:rsidRDefault="00854E9D" w:rsidP="00770904">
      <w:pPr>
        <w:autoSpaceDE w:val="0"/>
        <w:autoSpaceDN w:val="0"/>
        <w:adjustRightInd w:val="0"/>
      </w:pPr>
      <w:r>
        <w:t>Current EU PP d</w:t>
      </w:r>
      <w:r w:rsidRPr="0019751E">
        <w:t xml:space="preserve">irectives do not explicitly limit their scope to </w:t>
      </w:r>
      <w:r>
        <w:t xml:space="preserve">the </w:t>
      </w:r>
      <w:r w:rsidRPr="00487846">
        <w:t xml:space="preserve">purchasing activities of </w:t>
      </w:r>
      <w:r>
        <w:t>CAs</w:t>
      </w:r>
      <w:r w:rsidRPr="00487846">
        <w:t xml:space="preserve">. The </w:t>
      </w:r>
      <w:r>
        <w:t>proposal now clearly defines this scope</w:t>
      </w:r>
      <w:r w:rsidRPr="00487846">
        <w:t>.</w:t>
      </w:r>
      <w:r>
        <w:t xml:space="preserve"> The</w:t>
      </w:r>
      <w:r w:rsidRPr="00487846">
        <w:t xml:space="preserve"> common opinion among LRAs </w:t>
      </w:r>
      <w:r>
        <w:t>on this issue is that the scope of the PP d</w:t>
      </w:r>
      <w:r w:rsidRPr="00487846">
        <w:t>irectives should embody the principle of ‘the immediate economic benefit’ stated by the Court in its most recent case-law</w:t>
      </w:r>
      <w:r w:rsidRPr="00487846">
        <w:rPr>
          <w:rStyle w:val="FootnoteReference"/>
        </w:rPr>
        <w:footnoteReference w:id="22"/>
      </w:r>
      <w:r>
        <w:t xml:space="preserve">. The new proposal states </w:t>
      </w:r>
      <w:r>
        <w:rPr>
          <w:i/>
          <w:iCs/>
        </w:rPr>
        <w:t>‘</w:t>
      </w:r>
      <w:r>
        <w:rPr>
          <w:rFonts w:cs="TimesNewRoman"/>
          <w:lang w:eastAsia="zh-CN"/>
        </w:rPr>
        <w:t>the meaning of this d</w:t>
      </w:r>
      <w:r w:rsidRPr="00487846">
        <w:rPr>
          <w:rFonts w:cs="TimesNewRoman"/>
          <w:lang w:eastAsia="zh-CN"/>
        </w:rPr>
        <w:t>irective is the purchase or other forms of acquisition of works, supplies or services by one or more contracting authorities from economic operators chosen by those contracting authorities’</w:t>
      </w:r>
      <w:r w:rsidRPr="00487846">
        <w:rPr>
          <w:rFonts w:cs="TimesNewRoman"/>
          <w:i/>
          <w:iCs/>
          <w:lang w:eastAsia="zh-CN"/>
        </w:rPr>
        <w:t xml:space="preserve">. </w:t>
      </w:r>
    </w:p>
    <w:p w:rsidR="00854E9D" w:rsidRPr="00E332EB" w:rsidRDefault="00854E9D" w:rsidP="00770904"/>
    <w:p w:rsidR="00854E9D" w:rsidRPr="003537F0" w:rsidRDefault="00854E9D" w:rsidP="00770904">
      <w:pPr>
        <w:rPr>
          <w:b/>
          <w:bCs/>
          <w:i/>
          <w:iCs/>
        </w:rPr>
      </w:pPr>
      <w:r w:rsidRPr="00917C33">
        <w:rPr>
          <w:b/>
          <w:bCs/>
        </w:rPr>
        <w:t xml:space="preserve">Definitions </w:t>
      </w:r>
      <w:r w:rsidRPr="003341C7">
        <w:rPr>
          <w:b/>
          <w:bCs/>
          <w:i/>
          <w:iCs/>
        </w:rPr>
        <w:t>(</w:t>
      </w:r>
      <w:r>
        <w:rPr>
          <w:b/>
          <w:bCs/>
          <w:i/>
        </w:rPr>
        <w:t>Article 2:</w:t>
      </w:r>
      <w:r w:rsidRPr="003341C7">
        <w:rPr>
          <w:b/>
          <w:bCs/>
          <w:i/>
        </w:rPr>
        <w:t xml:space="preserve"> Definition</w:t>
      </w:r>
      <w:r>
        <w:rPr>
          <w:b/>
          <w:bCs/>
          <w:i/>
        </w:rPr>
        <w:t>s</w:t>
      </w:r>
      <w:r w:rsidRPr="003537F0">
        <w:rPr>
          <w:b/>
          <w:bCs/>
          <w:i/>
          <w:iCs/>
        </w:rPr>
        <w:t>)</w:t>
      </w:r>
    </w:p>
    <w:p w:rsidR="00854E9D" w:rsidRDefault="00854E9D" w:rsidP="00770904">
      <w:r>
        <w:t>The proposal now provides</w:t>
      </w:r>
      <w:r w:rsidRPr="00917C33">
        <w:t xml:space="preserve"> </w:t>
      </w:r>
      <w:r>
        <w:t>a common vocabulary for public procurement with 23 different definitions. This vocabulary is very important for LRAs because the lack of common understanding has caused serious problems in the application of PP directives.  An example is</w:t>
      </w:r>
      <w:r w:rsidRPr="00917C33">
        <w:t xml:space="preserve"> the definition of </w:t>
      </w:r>
      <w:r>
        <w:t>‘</w:t>
      </w:r>
      <w:r w:rsidRPr="00CA5FC5">
        <w:t>public works contracts</w:t>
      </w:r>
      <w:r>
        <w:t>’, particularly</w:t>
      </w:r>
      <w:r w:rsidRPr="00917C33">
        <w:t xml:space="preserve"> the criterion </w:t>
      </w:r>
      <w:r>
        <w:t>‘</w:t>
      </w:r>
      <w:r w:rsidRPr="00917C33">
        <w:t xml:space="preserve">the realisation, </w:t>
      </w:r>
      <w:r>
        <w:t xml:space="preserve">by </w:t>
      </w:r>
      <w:r w:rsidRPr="00917C33">
        <w:t>whatever means, of a work corresponding to the requirements specified by the contracting authority</w:t>
      </w:r>
      <w:r>
        <w:t>’</w:t>
      </w:r>
      <w:r w:rsidRPr="00917C33">
        <w:t xml:space="preserve"> and </w:t>
      </w:r>
      <w:r>
        <w:t xml:space="preserve">there are </w:t>
      </w:r>
      <w:r w:rsidRPr="00917C33">
        <w:t>calls for this definition to be adapted and simplified. A second issue</w:t>
      </w:r>
      <w:r>
        <w:t xml:space="preserve"> relates to</w:t>
      </w:r>
      <w:r w:rsidRPr="00917C33">
        <w:t xml:space="preserve"> </w:t>
      </w:r>
      <w:r>
        <w:t>‘</w:t>
      </w:r>
      <w:r w:rsidRPr="00CA5FC5">
        <w:t>public body</w:t>
      </w:r>
      <w:r>
        <w:t>’</w:t>
      </w:r>
      <w:r w:rsidRPr="00917C33">
        <w:t>.</w:t>
      </w:r>
    </w:p>
    <w:p w:rsidR="00854E9D" w:rsidRPr="00E332EB" w:rsidRDefault="00854E9D" w:rsidP="00770904">
      <w:r w:rsidRPr="00917C33">
        <w:t xml:space="preserve"> </w:t>
      </w:r>
    </w:p>
    <w:p w:rsidR="00854E9D" w:rsidRPr="00B70B2C" w:rsidRDefault="00854E9D" w:rsidP="00770904">
      <w:pPr>
        <w:rPr>
          <w:b/>
          <w:bCs/>
          <w:i/>
          <w:iCs/>
        </w:rPr>
      </w:pPr>
      <w:r>
        <w:rPr>
          <w:b/>
          <w:bCs/>
        </w:rPr>
        <w:t xml:space="preserve">Simplification for small CAs </w:t>
      </w:r>
      <w:r w:rsidRPr="003537F0">
        <w:rPr>
          <w:b/>
          <w:bCs/>
          <w:i/>
          <w:iCs/>
        </w:rPr>
        <w:t>(</w:t>
      </w:r>
      <w:r>
        <w:rPr>
          <w:b/>
          <w:bCs/>
          <w:i/>
          <w:iCs/>
        </w:rPr>
        <w:t>A</w:t>
      </w:r>
      <w:r w:rsidRPr="003537F0">
        <w:rPr>
          <w:b/>
          <w:bCs/>
          <w:i/>
          <w:iCs/>
        </w:rPr>
        <w:t>rt</w:t>
      </w:r>
      <w:r>
        <w:rPr>
          <w:b/>
          <w:bCs/>
          <w:i/>
          <w:iCs/>
        </w:rPr>
        <w:t>icle 26.4:</w:t>
      </w:r>
      <w:r w:rsidRPr="003537F0">
        <w:rPr>
          <w:b/>
          <w:bCs/>
          <w:i/>
          <w:iCs/>
        </w:rPr>
        <w:t xml:space="preserve"> </w:t>
      </w:r>
      <w:r>
        <w:rPr>
          <w:b/>
          <w:bCs/>
          <w:i/>
          <w:iCs/>
        </w:rPr>
        <w:t>R</w:t>
      </w:r>
      <w:r w:rsidRPr="003537F0">
        <w:rPr>
          <w:b/>
          <w:bCs/>
          <w:i/>
          <w:iCs/>
        </w:rPr>
        <w:t xml:space="preserve">estricted procedure – </w:t>
      </w:r>
      <w:r>
        <w:rPr>
          <w:b/>
          <w:bCs/>
          <w:i/>
          <w:iCs/>
        </w:rPr>
        <w:t>A</w:t>
      </w:r>
      <w:r w:rsidRPr="003537F0">
        <w:rPr>
          <w:b/>
          <w:bCs/>
          <w:i/>
          <w:iCs/>
        </w:rPr>
        <w:t>rt</w:t>
      </w:r>
      <w:r>
        <w:rPr>
          <w:b/>
          <w:bCs/>
          <w:i/>
          <w:iCs/>
        </w:rPr>
        <w:t>icle</w:t>
      </w:r>
      <w:r w:rsidRPr="003537F0">
        <w:rPr>
          <w:b/>
          <w:bCs/>
          <w:i/>
          <w:iCs/>
        </w:rPr>
        <w:t xml:space="preserve"> 46</w:t>
      </w:r>
      <w:r>
        <w:rPr>
          <w:b/>
          <w:bCs/>
          <w:i/>
          <w:iCs/>
        </w:rPr>
        <w:t>.</w:t>
      </w:r>
      <w:r w:rsidRPr="003537F0">
        <w:rPr>
          <w:b/>
          <w:bCs/>
          <w:i/>
          <w:iCs/>
        </w:rPr>
        <w:t>2</w:t>
      </w:r>
      <w:r>
        <w:rPr>
          <w:b/>
          <w:bCs/>
          <w:i/>
          <w:iCs/>
        </w:rPr>
        <w:t>:</w:t>
      </w:r>
      <w:r w:rsidRPr="003537F0">
        <w:rPr>
          <w:b/>
          <w:bCs/>
          <w:i/>
          <w:iCs/>
        </w:rPr>
        <w:t xml:space="preserve"> Prior information notices</w:t>
      </w:r>
      <w:r>
        <w:rPr>
          <w:b/>
          <w:bCs/>
        </w:rPr>
        <w:t>).</w:t>
      </w:r>
    </w:p>
    <w:p w:rsidR="00854E9D" w:rsidRPr="009A42EE" w:rsidRDefault="00854E9D" w:rsidP="00770904">
      <w:r w:rsidRPr="009A42EE">
        <w:t xml:space="preserve">A common issue </w:t>
      </w:r>
      <w:r>
        <w:t>relates to</w:t>
      </w:r>
      <w:r w:rsidRPr="009A42EE">
        <w:t xml:space="preserve"> the fact that small </w:t>
      </w:r>
      <w:r>
        <w:t xml:space="preserve">CAs </w:t>
      </w:r>
      <w:r w:rsidRPr="009A42EE">
        <w:t>have to apply the</w:t>
      </w:r>
      <w:r>
        <w:t xml:space="preserve"> regime’s full </w:t>
      </w:r>
      <w:r w:rsidRPr="009A42EE">
        <w:t>procedural rules and safeguards</w:t>
      </w:r>
      <w:r>
        <w:t xml:space="preserve">, spending a </w:t>
      </w:r>
      <w:r w:rsidRPr="009A42EE">
        <w:t>disproportionate am</w:t>
      </w:r>
      <w:r>
        <w:t xml:space="preserve">ount of time and effort considering </w:t>
      </w:r>
      <w:r w:rsidRPr="009A42EE">
        <w:t xml:space="preserve">the relatively small nature of the contracts. The new proposal provides </w:t>
      </w:r>
      <w:r>
        <w:t xml:space="preserve">for </w:t>
      </w:r>
      <w:r w:rsidRPr="009A42EE">
        <w:t xml:space="preserve">a </w:t>
      </w:r>
      <w:r>
        <w:t>l</w:t>
      </w:r>
      <w:r w:rsidRPr="009A42EE">
        <w:t xml:space="preserve">ighter regime for sub-central </w:t>
      </w:r>
      <w:r>
        <w:t>CAs, i.e.</w:t>
      </w:r>
      <w:r w:rsidRPr="009A42EE">
        <w:t xml:space="preserve"> all </w:t>
      </w:r>
      <w:r>
        <w:t>CAs</w:t>
      </w:r>
      <w:r w:rsidRPr="009A42EE">
        <w:t xml:space="preserve"> below the central government level, such as local and regional authorities. For this category of purchasers:</w:t>
      </w:r>
    </w:p>
    <w:p w:rsidR="00854E9D" w:rsidRPr="009A42EE" w:rsidRDefault="00854E9D" w:rsidP="00770904">
      <w:pPr>
        <w:pStyle w:val="ListParagraph"/>
        <w:numPr>
          <w:ilvl w:val="0"/>
          <w:numId w:val="19"/>
        </w:numPr>
      </w:pPr>
      <w:r>
        <w:t>a</w:t>
      </w:r>
      <w:r w:rsidRPr="009A42EE">
        <w:t xml:space="preserve"> prior information notice can be used </w:t>
      </w:r>
      <w:r>
        <w:t>to</w:t>
      </w:r>
      <w:r w:rsidRPr="009A42EE">
        <w:t xml:space="preserve"> call for </w:t>
      </w:r>
      <w:r w:rsidRPr="00C378FF">
        <w:t>competition</w:t>
      </w:r>
      <w:r w:rsidRPr="009A42EE">
        <w:t xml:space="preserve">. </w:t>
      </w:r>
      <w:r>
        <w:t>S</w:t>
      </w:r>
      <w:r w:rsidRPr="009A42EE">
        <w:t>ub-central</w:t>
      </w:r>
      <w:r>
        <w:t xml:space="preserve"> CAs using this faci</w:t>
      </w:r>
      <w:r w:rsidRPr="009A42EE">
        <w:t>l</w:t>
      </w:r>
      <w:r>
        <w:t>i</w:t>
      </w:r>
      <w:r w:rsidRPr="009A42EE">
        <w:t>ty do</w:t>
      </w:r>
      <w:r>
        <w:t xml:space="preserve"> </w:t>
      </w:r>
      <w:r w:rsidRPr="009A42EE">
        <w:t>n</w:t>
      </w:r>
      <w:r>
        <w:t>o</w:t>
      </w:r>
      <w:r w:rsidRPr="009A42EE">
        <w:t>t have to publish a separate contract notice before launching the procurement procedure;</w:t>
      </w:r>
    </w:p>
    <w:p w:rsidR="00854E9D" w:rsidRPr="009A42EE" w:rsidRDefault="00854E9D" w:rsidP="00770904">
      <w:pPr>
        <w:pStyle w:val="ListParagraph"/>
        <w:numPr>
          <w:ilvl w:val="0"/>
          <w:numId w:val="19"/>
        </w:numPr>
      </w:pPr>
      <w:r w:rsidRPr="009A42EE">
        <w:t xml:space="preserve">in </w:t>
      </w:r>
      <w:r>
        <w:t>a</w:t>
      </w:r>
      <w:r w:rsidRPr="009A42EE">
        <w:t xml:space="preserve"> restricted procedure, sub-central </w:t>
      </w:r>
      <w:r>
        <w:t>CAs</w:t>
      </w:r>
      <w:r w:rsidRPr="009A42EE">
        <w:t xml:space="preserve"> can </w:t>
      </w:r>
      <w:r>
        <w:t xml:space="preserve">set </w:t>
      </w:r>
      <w:r w:rsidRPr="009A42EE">
        <w:t>time limits in a more flexible way by mutual agreement with participants.</w:t>
      </w:r>
    </w:p>
    <w:p w:rsidR="00854E9D" w:rsidRPr="009A42EE" w:rsidRDefault="00854E9D" w:rsidP="00770904">
      <w:r w:rsidRPr="009A42EE">
        <w:t xml:space="preserve">Furthermore the proposal adopts a tool box approach which </w:t>
      </w:r>
      <w:r>
        <w:t>should</w:t>
      </w:r>
      <w:r w:rsidRPr="009A42EE">
        <w:t xml:space="preserve"> </w:t>
      </w:r>
      <w:r>
        <w:t>create greater flexibility and guarantee</w:t>
      </w:r>
      <w:r w:rsidRPr="009A42EE">
        <w:t xml:space="preserve"> transparency</w:t>
      </w:r>
      <w:r w:rsidRPr="009A42EE">
        <w:rPr>
          <w:rStyle w:val="FootnoteReference"/>
        </w:rPr>
        <w:footnoteReference w:id="23"/>
      </w:r>
      <w:r w:rsidRPr="009A42EE">
        <w:t xml:space="preserve"> (see the following paragraph).</w:t>
      </w:r>
    </w:p>
    <w:p w:rsidR="00854E9D" w:rsidRPr="00E332EB" w:rsidRDefault="00854E9D" w:rsidP="00770904">
      <w:pPr>
        <w:rPr>
          <w:rFonts w:ascii="Times" w:hAnsi="Times" w:cs="Times"/>
          <w:highlight w:val="yellow"/>
        </w:rPr>
      </w:pPr>
    </w:p>
    <w:p w:rsidR="00854E9D" w:rsidRPr="00B70B2C" w:rsidRDefault="00854E9D" w:rsidP="00770904">
      <w:pPr>
        <w:rPr>
          <w:b/>
          <w:bCs/>
          <w:lang w:eastAsia="zh-CN"/>
        </w:rPr>
      </w:pPr>
      <w:r w:rsidRPr="00590CA4">
        <w:rPr>
          <w:rFonts w:ascii="Times" w:hAnsi="Times" w:cs="Times"/>
          <w:b/>
          <w:bCs/>
        </w:rPr>
        <w:t>Adoption of new tools and instruments</w:t>
      </w:r>
      <w:r w:rsidRPr="00590CA4">
        <w:rPr>
          <w:rFonts w:ascii="Times" w:hAnsi="Times" w:cs="Times"/>
        </w:rPr>
        <w:t xml:space="preserve"> (</w:t>
      </w:r>
      <w:r w:rsidRPr="00E53E51">
        <w:rPr>
          <w:rFonts w:ascii="Times" w:hAnsi="Times" w:cs="Times"/>
          <w:b/>
          <w:i/>
        </w:rPr>
        <w:t xml:space="preserve">Title II, </w:t>
      </w:r>
      <w:r w:rsidRPr="0011482E">
        <w:rPr>
          <w:b/>
          <w:bCs/>
          <w:i/>
          <w:lang w:eastAsia="zh-CN"/>
        </w:rPr>
        <w:t xml:space="preserve">Chapter </w:t>
      </w:r>
      <w:r w:rsidRPr="00E53E51">
        <w:rPr>
          <w:b/>
          <w:bCs/>
          <w:i/>
          <w:lang w:eastAsia="zh-CN"/>
        </w:rPr>
        <w:t>II</w:t>
      </w:r>
      <w:r w:rsidRPr="0096643A">
        <w:rPr>
          <w:b/>
          <w:bCs/>
          <w:i/>
          <w:lang w:eastAsia="zh-CN"/>
        </w:rPr>
        <w:t>: Techniques and instruments for electronic and aggregated procurement- Article 59</w:t>
      </w:r>
      <w:r>
        <w:rPr>
          <w:b/>
          <w:bCs/>
          <w:i/>
          <w:lang w:eastAsia="zh-CN"/>
        </w:rPr>
        <w:t>:</w:t>
      </w:r>
      <w:r w:rsidRPr="0096643A">
        <w:rPr>
          <w:b/>
          <w:bCs/>
          <w:i/>
          <w:lang w:eastAsia="zh-CN"/>
        </w:rPr>
        <w:t xml:space="preserve"> European Procurement Passport</w:t>
      </w:r>
      <w:r w:rsidRPr="00CA5FC5">
        <w:rPr>
          <w:b/>
          <w:bCs/>
          <w:lang w:eastAsia="zh-CN"/>
        </w:rPr>
        <w:t>)</w:t>
      </w:r>
    </w:p>
    <w:p w:rsidR="00854E9D" w:rsidRPr="00E332EB" w:rsidRDefault="00854E9D" w:rsidP="00770904">
      <w:pPr>
        <w:rPr>
          <w:rFonts w:ascii="Times" w:hAnsi="Times" w:cs="Times"/>
          <w:b/>
          <w:bCs/>
        </w:rPr>
      </w:pPr>
      <w:r>
        <w:rPr>
          <w:rFonts w:ascii="Times" w:hAnsi="Times" w:cs="Times"/>
        </w:rPr>
        <w:t>T</w:t>
      </w:r>
      <w:r w:rsidRPr="00403F07">
        <w:rPr>
          <w:rFonts w:ascii="Times" w:hAnsi="Times" w:cs="Times"/>
        </w:rPr>
        <w:t xml:space="preserve">he </w:t>
      </w:r>
      <w:r>
        <w:rPr>
          <w:rFonts w:ascii="Times" w:hAnsi="Times" w:cs="Times"/>
        </w:rPr>
        <w:t>proposal includes procedures which can be adopted by LRAs in their role as</w:t>
      </w:r>
      <w:bookmarkStart w:id="11" w:name="_GoBack"/>
      <w:bookmarkEnd w:id="11"/>
      <w:r>
        <w:rPr>
          <w:rFonts w:ascii="Times" w:hAnsi="Times" w:cs="Times"/>
        </w:rPr>
        <w:t xml:space="preserve"> CAs to increase flexibility and reduce administrative costs. They are</w:t>
      </w:r>
      <w:r w:rsidRPr="0038301C">
        <w:rPr>
          <w:rFonts w:ascii="TimesNewRoman" w:hAnsi="TimesNewRoman" w:cs="TimesNewRoman"/>
          <w:sz w:val="24"/>
          <w:szCs w:val="24"/>
          <w:lang w:eastAsia="zh-CN"/>
        </w:rPr>
        <w:t xml:space="preserve"> </w:t>
      </w:r>
      <w:r w:rsidRPr="0038301C">
        <w:rPr>
          <w:rFonts w:ascii="Times" w:hAnsi="Times" w:cs="Times"/>
        </w:rPr>
        <w:t>competitive procedure</w:t>
      </w:r>
      <w:r>
        <w:rPr>
          <w:rFonts w:ascii="Times" w:hAnsi="Times" w:cs="Times"/>
        </w:rPr>
        <w:t>s</w:t>
      </w:r>
      <w:r w:rsidRPr="0038301C">
        <w:rPr>
          <w:rFonts w:ascii="Times" w:hAnsi="Times" w:cs="Times"/>
        </w:rPr>
        <w:t xml:space="preserve"> with negotiation, competitive dialogue and innovation</w:t>
      </w:r>
      <w:r>
        <w:rPr>
          <w:rFonts w:ascii="Times" w:hAnsi="Times" w:cs="Times"/>
        </w:rPr>
        <w:t xml:space="preserve"> </w:t>
      </w:r>
      <w:r w:rsidRPr="0038301C">
        <w:rPr>
          <w:rFonts w:ascii="Times" w:hAnsi="Times" w:cs="Times"/>
        </w:rPr>
        <w:t>partnershi</w:t>
      </w:r>
      <w:r>
        <w:rPr>
          <w:rFonts w:ascii="Times" w:hAnsi="Times" w:cs="Times"/>
        </w:rPr>
        <w:t>ps. F</w:t>
      </w:r>
      <w:r w:rsidRPr="0038301C">
        <w:rPr>
          <w:rFonts w:ascii="Times" w:hAnsi="Times" w:cs="Times"/>
        </w:rPr>
        <w:t xml:space="preserve">urthermore </w:t>
      </w:r>
      <w:r>
        <w:rPr>
          <w:rFonts w:ascii="Times" w:hAnsi="Times" w:cs="Times"/>
        </w:rPr>
        <w:t xml:space="preserve">there is </w:t>
      </w:r>
      <w:r w:rsidRPr="0038301C">
        <w:rPr>
          <w:rFonts w:ascii="Times" w:hAnsi="Times" w:cs="Times"/>
        </w:rPr>
        <w:t>a set of six specific</w:t>
      </w:r>
      <w:r>
        <w:rPr>
          <w:rFonts w:ascii="Times" w:hAnsi="Times" w:cs="Times"/>
        </w:rPr>
        <w:t xml:space="preserve"> </w:t>
      </w:r>
      <w:r w:rsidRPr="0038301C">
        <w:rPr>
          <w:rFonts w:ascii="Times" w:hAnsi="Times" w:cs="Times"/>
        </w:rPr>
        <w:t xml:space="preserve">procurement </w:t>
      </w:r>
      <w:r>
        <w:rPr>
          <w:rFonts w:ascii="Times" w:hAnsi="Times" w:cs="Times"/>
        </w:rPr>
        <w:t>tools</w:t>
      </w:r>
      <w:r w:rsidRPr="0038301C">
        <w:rPr>
          <w:rFonts w:ascii="Times" w:hAnsi="Times" w:cs="Times"/>
        </w:rPr>
        <w:t>:</w:t>
      </w:r>
      <w:r>
        <w:rPr>
          <w:rFonts w:ascii="Times" w:hAnsi="Times" w:cs="Times"/>
        </w:rPr>
        <w:t xml:space="preserve"> </w:t>
      </w:r>
      <w:r w:rsidRPr="0038301C">
        <w:rPr>
          <w:rFonts w:ascii="Times" w:hAnsi="Times" w:cs="Times"/>
        </w:rPr>
        <w:t>framework agreements, dynamic purchasing systems, electronic auctions, electronic</w:t>
      </w:r>
      <w:r>
        <w:rPr>
          <w:rFonts w:ascii="Times" w:hAnsi="Times" w:cs="Times"/>
        </w:rPr>
        <w:t xml:space="preserve"> </w:t>
      </w:r>
      <w:r w:rsidRPr="0038301C">
        <w:rPr>
          <w:rFonts w:ascii="Times" w:hAnsi="Times" w:cs="Times"/>
        </w:rPr>
        <w:t xml:space="preserve">catalogues, central purchasing bodies and joint procurement. </w:t>
      </w:r>
      <w:r>
        <w:rPr>
          <w:rFonts w:ascii="Times" w:hAnsi="Times" w:cs="Times"/>
        </w:rPr>
        <w:t xml:space="preserve">These are instruments for electronic and </w:t>
      </w:r>
      <w:r w:rsidRPr="0038301C">
        <w:rPr>
          <w:rFonts w:ascii="Times" w:hAnsi="Times" w:cs="Times"/>
        </w:rPr>
        <w:t>aggregated</w:t>
      </w:r>
      <w:r>
        <w:rPr>
          <w:rFonts w:ascii="Times" w:hAnsi="Times" w:cs="Times"/>
        </w:rPr>
        <w:t xml:space="preserve"> procurement, which should simplify the award process and minimise costs. Finally, the proposal adopts a tool already proposed by the CoR: the </w:t>
      </w:r>
      <w:r w:rsidRPr="00CA5FC5">
        <w:rPr>
          <w:rFonts w:ascii="Times" w:hAnsi="Times" w:cs="Times"/>
          <w:b/>
          <w:bCs/>
        </w:rPr>
        <w:t xml:space="preserve">European </w:t>
      </w:r>
      <w:r>
        <w:rPr>
          <w:rFonts w:ascii="Times" w:hAnsi="Times" w:cs="Times"/>
          <w:b/>
          <w:bCs/>
        </w:rPr>
        <w:t>P</w:t>
      </w:r>
      <w:r w:rsidRPr="00CA5FC5">
        <w:rPr>
          <w:rFonts w:ascii="Times" w:hAnsi="Times" w:cs="Times"/>
          <w:b/>
          <w:bCs/>
        </w:rPr>
        <w:t xml:space="preserve">rocurement </w:t>
      </w:r>
      <w:r>
        <w:rPr>
          <w:rFonts w:ascii="Times" w:hAnsi="Times" w:cs="Times"/>
          <w:b/>
          <w:bCs/>
        </w:rPr>
        <w:t>P</w:t>
      </w:r>
      <w:r w:rsidRPr="00CA5FC5">
        <w:rPr>
          <w:rFonts w:ascii="Times" w:hAnsi="Times" w:cs="Times"/>
          <w:b/>
          <w:bCs/>
        </w:rPr>
        <w:t>assport</w:t>
      </w:r>
      <w:r w:rsidRPr="00E332EB">
        <w:rPr>
          <w:rFonts w:ascii="Times" w:hAnsi="Times" w:cs="Times"/>
        </w:rPr>
        <w:t>, in the form of a standardised registration system</w:t>
      </w:r>
      <w:r w:rsidRPr="00E332EB">
        <w:rPr>
          <w:rStyle w:val="FootnoteReference"/>
          <w:rFonts w:ascii="Times" w:hAnsi="Times" w:cs="Times"/>
        </w:rPr>
        <w:footnoteReference w:id="24"/>
      </w:r>
      <w:r w:rsidRPr="00E332EB">
        <w:rPr>
          <w:rFonts w:ascii="Times" w:hAnsi="Times" w:cs="Times"/>
        </w:rPr>
        <w:t xml:space="preserve">, </w:t>
      </w:r>
      <w:r>
        <w:rPr>
          <w:rFonts w:ascii="Times" w:hAnsi="Times" w:cs="Times"/>
        </w:rPr>
        <w:t>which in 2 years will be in electronic format. This</w:t>
      </w:r>
      <w:r w:rsidRPr="00E332EB">
        <w:rPr>
          <w:rFonts w:ascii="Times" w:hAnsi="Times" w:cs="Times"/>
        </w:rPr>
        <w:t xml:space="preserve"> w</w:t>
      </w:r>
      <w:r>
        <w:rPr>
          <w:rFonts w:ascii="Times" w:hAnsi="Times" w:cs="Times"/>
        </w:rPr>
        <w:t>ill</w:t>
      </w:r>
      <w:r w:rsidRPr="00E332EB">
        <w:rPr>
          <w:rFonts w:ascii="Times" w:hAnsi="Times" w:cs="Times"/>
        </w:rPr>
        <w:t xml:space="preserve"> demonstrate, without entailing high costs, that an operator has the relevant declarations and documentation often requested by </w:t>
      </w:r>
      <w:r>
        <w:rPr>
          <w:rFonts w:ascii="Times" w:hAnsi="Times" w:cs="Times"/>
        </w:rPr>
        <w:t>CAs</w:t>
      </w:r>
      <w:r w:rsidRPr="00E332EB">
        <w:rPr>
          <w:rFonts w:ascii="Times" w:hAnsi="Times" w:cs="Times"/>
        </w:rPr>
        <w:t xml:space="preserve">. The passport </w:t>
      </w:r>
      <w:r>
        <w:rPr>
          <w:rFonts w:ascii="Times" w:hAnsi="Times" w:cs="Times"/>
        </w:rPr>
        <w:t>will enable</w:t>
      </w:r>
      <w:r w:rsidRPr="00E332EB">
        <w:rPr>
          <w:rFonts w:ascii="Times" w:hAnsi="Times" w:cs="Times"/>
        </w:rPr>
        <w:t xml:space="preserve"> operators </w:t>
      </w:r>
      <w:r>
        <w:rPr>
          <w:rFonts w:ascii="Times" w:hAnsi="Times" w:cs="Times"/>
        </w:rPr>
        <w:t xml:space="preserve">to </w:t>
      </w:r>
      <w:r w:rsidRPr="00E332EB">
        <w:rPr>
          <w:rFonts w:ascii="Times" w:hAnsi="Times" w:cs="Times"/>
        </w:rPr>
        <w:t>avoid present</w:t>
      </w:r>
      <w:r>
        <w:rPr>
          <w:rFonts w:ascii="Times" w:hAnsi="Times" w:cs="Times"/>
        </w:rPr>
        <w:t>ing</w:t>
      </w:r>
      <w:r w:rsidRPr="00E332EB">
        <w:rPr>
          <w:rFonts w:ascii="Times" w:hAnsi="Times" w:cs="Times"/>
        </w:rPr>
        <w:t xml:space="preserve"> the same declarations and documents and </w:t>
      </w:r>
      <w:r>
        <w:rPr>
          <w:rFonts w:ascii="Times" w:hAnsi="Times" w:cs="Times"/>
        </w:rPr>
        <w:t xml:space="preserve">will </w:t>
      </w:r>
      <w:r w:rsidRPr="00E332EB">
        <w:rPr>
          <w:rFonts w:ascii="Times" w:hAnsi="Times" w:cs="Times"/>
        </w:rPr>
        <w:t>ensure considerable saving</w:t>
      </w:r>
      <w:r>
        <w:rPr>
          <w:rFonts w:ascii="Times" w:hAnsi="Times" w:cs="Times"/>
        </w:rPr>
        <w:t>s</w:t>
      </w:r>
      <w:r w:rsidRPr="00E332EB">
        <w:rPr>
          <w:rFonts w:ascii="Times" w:hAnsi="Times" w:cs="Times"/>
        </w:rPr>
        <w:t xml:space="preserve"> </w:t>
      </w:r>
      <w:r>
        <w:rPr>
          <w:rFonts w:ascii="Times" w:hAnsi="Times" w:cs="Times"/>
        </w:rPr>
        <w:t>in</w:t>
      </w:r>
      <w:r w:rsidRPr="00E332EB">
        <w:rPr>
          <w:rFonts w:ascii="Times" w:hAnsi="Times" w:cs="Times"/>
        </w:rPr>
        <w:t xml:space="preserve"> time and resources. </w:t>
      </w:r>
    </w:p>
    <w:p w:rsidR="00854E9D" w:rsidRPr="003D716B" w:rsidRDefault="00854E9D" w:rsidP="00770904">
      <w:pPr>
        <w:rPr>
          <w:rFonts w:cs="Times"/>
          <w:highlight w:val="yellow"/>
        </w:rPr>
      </w:pPr>
    </w:p>
    <w:p w:rsidR="00854E9D" w:rsidRPr="003D716B" w:rsidRDefault="00854E9D" w:rsidP="00770904">
      <w:pPr>
        <w:rPr>
          <w:rFonts w:cs="Times"/>
          <w:b/>
          <w:bCs/>
        </w:rPr>
      </w:pPr>
      <w:r w:rsidRPr="00E53E51">
        <w:rPr>
          <w:rFonts w:cs="Times"/>
          <w:b/>
          <w:bCs/>
        </w:rPr>
        <w:t>Pursuing horizontal objectives (</w:t>
      </w:r>
      <w:r>
        <w:rPr>
          <w:rFonts w:cs="Times"/>
          <w:b/>
          <w:bCs/>
          <w:i/>
        </w:rPr>
        <w:t>Article 41: Labels - Article 55:</w:t>
      </w:r>
      <w:r w:rsidRPr="00E53E51">
        <w:rPr>
          <w:rFonts w:cs="Times"/>
          <w:b/>
          <w:bCs/>
          <w:i/>
        </w:rPr>
        <w:t xml:space="preserve"> </w:t>
      </w:r>
      <w:r>
        <w:rPr>
          <w:rFonts w:cs="Times"/>
          <w:b/>
          <w:bCs/>
          <w:i/>
        </w:rPr>
        <w:t xml:space="preserve"> Exclusion grounds – Article: 6</w:t>
      </w:r>
      <w:r w:rsidRPr="00E53E51">
        <w:rPr>
          <w:rFonts w:cs="Times"/>
          <w:b/>
          <w:bCs/>
          <w:i/>
        </w:rPr>
        <w:t xml:space="preserve"> Quality assurance standards and environmental management standards - Article 67</w:t>
      </w:r>
      <w:r>
        <w:rPr>
          <w:rFonts w:cs="Times"/>
          <w:b/>
          <w:bCs/>
          <w:i/>
        </w:rPr>
        <w:t>:</w:t>
      </w:r>
      <w:r w:rsidRPr="00E53E51">
        <w:rPr>
          <w:rFonts w:cs="Times"/>
          <w:b/>
          <w:bCs/>
          <w:i/>
        </w:rPr>
        <w:t xml:space="preserve"> Life cycle and life-cycle costing</w:t>
      </w:r>
      <w:r w:rsidRPr="00E53E51">
        <w:rPr>
          <w:rFonts w:cs="Times"/>
          <w:b/>
          <w:bCs/>
        </w:rPr>
        <w:t xml:space="preserve">) </w:t>
      </w:r>
    </w:p>
    <w:p w:rsidR="00854E9D" w:rsidRPr="003D716B" w:rsidRDefault="00854E9D" w:rsidP="00770904">
      <w:pPr>
        <w:autoSpaceDE w:val="0"/>
        <w:autoSpaceDN w:val="0"/>
        <w:adjustRightInd w:val="0"/>
        <w:rPr>
          <w:rFonts w:cs="Times"/>
        </w:rPr>
      </w:pPr>
      <w:r>
        <w:rPr>
          <w:rFonts w:ascii="Times" w:hAnsi="Times"/>
        </w:rPr>
        <w:t>The proposal offers LRAs a degree of flexibility in the procurement of goods and services that contribute to the achievement of the Europe 2020 sustainable development and social inclusion objectives</w:t>
      </w:r>
      <w:r w:rsidRPr="00E53E51">
        <w:rPr>
          <w:rFonts w:cs="Times"/>
        </w:rPr>
        <w:t>. Even if this opportunity is not fully exploited because it is linke</w:t>
      </w:r>
      <w:r>
        <w:rPr>
          <w:rFonts w:cs="Times"/>
        </w:rPr>
        <w:t>d to the contract (see next sub</w:t>
      </w:r>
      <w:r w:rsidRPr="00E53E51">
        <w:rPr>
          <w:rFonts w:cs="Times"/>
        </w:rPr>
        <w:t>paragraph 3.2), the LRAs could:</w:t>
      </w:r>
    </w:p>
    <w:p w:rsidR="00854E9D" w:rsidRPr="00E53E51" w:rsidRDefault="00854E9D" w:rsidP="00770904">
      <w:pPr>
        <w:pStyle w:val="ListParagraph"/>
        <w:numPr>
          <w:ilvl w:val="0"/>
          <w:numId w:val="20"/>
        </w:numPr>
        <w:autoSpaceDE w:val="0"/>
        <w:autoSpaceDN w:val="0"/>
        <w:adjustRightInd w:val="0"/>
        <w:rPr>
          <w:rFonts w:cs="Times"/>
        </w:rPr>
      </w:pPr>
      <w:r w:rsidRPr="00E53E51">
        <w:rPr>
          <w:rFonts w:cs="TimesNewRoman"/>
          <w:lang w:eastAsia="zh-CN"/>
        </w:rPr>
        <w:t xml:space="preserve">require that works, services or supplies bear a specific environmental or social label; </w:t>
      </w:r>
    </w:p>
    <w:p w:rsidR="00854E9D" w:rsidRPr="00E53E51" w:rsidRDefault="00854E9D" w:rsidP="00770904">
      <w:pPr>
        <w:pStyle w:val="ListParagraph"/>
        <w:numPr>
          <w:ilvl w:val="0"/>
          <w:numId w:val="20"/>
        </w:numPr>
        <w:autoSpaceDE w:val="0"/>
        <w:autoSpaceDN w:val="0"/>
        <w:adjustRightInd w:val="0"/>
        <w:rPr>
          <w:rFonts w:cs="Times"/>
        </w:rPr>
      </w:pPr>
      <w:r w:rsidRPr="00E53E51">
        <w:rPr>
          <w:rFonts w:cs="TimesNewRoman"/>
          <w:lang w:eastAsia="zh-CN"/>
        </w:rPr>
        <w:t>exclude any economic operator aware of any violation of social, labour or environmental law from participation in a public contract;</w:t>
      </w:r>
    </w:p>
    <w:p w:rsidR="00854E9D" w:rsidRPr="00E53E51" w:rsidRDefault="00854E9D" w:rsidP="00770904">
      <w:pPr>
        <w:pStyle w:val="ListParagraph"/>
        <w:numPr>
          <w:ilvl w:val="0"/>
          <w:numId w:val="20"/>
        </w:numPr>
        <w:autoSpaceDE w:val="0"/>
        <w:autoSpaceDN w:val="0"/>
        <w:adjustRightInd w:val="0"/>
        <w:rPr>
          <w:rFonts w:cs="Times"/>
        </w:rPr>
      </w:pPr>
      <w:r>
        <w:rPr>
          <w:rFonts w:cs="TimesNewRoman"/>
          <w:lang w:eastAsia="zh-CN"/>
        </w:rPr>
        <w:t>adopt the l</w:t>
      </w:r>
      <w:r w:rsidRPr="00E53E51">
        <w:rPr>
          <w:rFonts w:cs="TimesNewRoman"/>
          <w:lang w:eastAsia="zh-CN"/>
        </w:rPr>
        <w:t xml:space="preserve">ife-cycle costing approach and include external environmental costs. </w:t>
      </w:r>
    </w:p>
    <w:p w:rsidR="00854E9D" w:rsidRDefault="00854E9D" w:rsidP="00770904">
      <w:pPr>
        <w:autoSpaceDE w:val="0"/>
        <w:autoSpaceDN w:val="0"/>
        <w:adjustRightInd w:val="0"/>
        <w:jc w:val="left"/>
        <w:rPr>
          <w:rFonts w:ascii="Times" w:hAnsi="Times" w:cs="Times"/>
        </w:rPr>
      </w:pPr>
    </w:p>
    <w:p w:rsidR="00854E9D" w:rsidRDefault="00854E9D" w:rsidP="00770904">
      <w:pPr>
        <w:autoSpaceDE w:val="0"/>
        <w:autoSpaceDN w:val="0"/>
        <w:adjustRightInd w:val="0"/>
        <w:rPr>
          <w:rFonts w:ascii="Times" w:hAnsi="Times" w:cs="Times"/>
        </w:rPr>
      </w:pPr>
      <w:r>
        <w:rPr>
          <w:rFonts w:ascii="Times" w:hAnsi="Times" w:cs="Times"/>
        </w:rPr>
        <w:t>T</w:t>
      </w:r>
      <w:r w:rsidRPr="00A668CF">
        <w:rPr>
          <w:rFonts w:ascii="Times" w:hAnsi="Times" w:cs="Times"/>
        </w:rPr>
        <w:t xml:space="preserve">he proposal </w:t>
      </w:r>
      <w:r>
        <w:rPr>
          <w:rFonts w:ascii="Times" w:hAnsi="Times" w:cs="Times"/>
        </w:rPr>
        <w:t xml:space="preserve">promotes innovation by </w:t>
      </w:r>
      <w:r w:rsidRPr="00A668CF">
        <w:rPr>
          <w:rFonts w:ascii="Times" w:hAnsi="Times" w:cs="Times"/>
        </w:rPr>
        <w:t>provid</w:t>
      </w:r>
      <w:r>
        <w:rPr>
          <w:rFonts w:ascii="Times" w:hAnsi="Times" w:cs="Times"/>
        </w:rPr>
        <w:t>ing</w:t>
      </w:r>
      <w:r w:rsidRPr="00A668CF">
        <w:rPr>
          <w:rFonts w:ascii="Times" w:hAnsi="Times" w:cs="Times"/>
        </w:rPr>
        <w:t xml:space="preserve"> the option of adopting the </w:t>
      </w:r>
      <w:r>
        <w:rPr>
          <w:rFonts w:ascii="Times" w:hAnsi="Times" w:cs="Times"/>
        </w:rPr>
        <w:t>‘</w:t>
      </w:r>
      <w:r w:rsidRPr="00A668CF">
        <w:rPr>
          <w:rFonts w:ascii="Times" w:hAnsi="Times" w:cs="Times"/>
        </w:rPr>
        <w:t>innovation partnership</w:t>
      </w:r>
      <w:r>
        <w:rPr>
          <w:rFonts w:ascii="Times" w:hAnsi="Times" w:cs="Times"/>
        </w:rPr>
        <w:t>’</w:t>
      </w:r>
      <w:r w:rsidRPr="00A668CF">
        <w:rPr>
          <w:rFonts w:ascii="Times" w:hAnsi="Times" w:cs="Times"/>
        </w:rPr>
        <w:t xml:space="preserve"> </w:t>
      </w:r>
      <w:r>
        <w:rPr>
          <w:rFonts w:ascii="Times" w:hAnsi="Times" w:cs="Times"/>
        </w:rPr>
        <w:t xml:space="preserve">tool </w:t>
      </w:r>
      <w:r w:rsidRPr="00A668CF">
        <w:rPr>
          <w:rFonts w:ascii="Times" w:hAnsi="Times" w:cs="Times"/>
        </w:rPr>
        <w:t>which sh</w:t>
      </w:r>
      <w:r>
        <w:rPr>
          <w:rFonts w:ascii="Times" w:hAnsi="Times" w:cs="Times"/>
        </w:rPr>
        <w:t>ould</w:t>
      </w:r>
      <w:r w:rsidRPr="00A668CF">
        <w:rPr>
          <w:rFonts w:ascii="Times" w:hAnsi="Times" w:cs="Times"/>
        </w:rPr>
        <w:t xml:space="preserve"> </w:t>
      </w:r>
      <w:r>
        <w:rPr>
          <w:rFonts w:ascii="Times" w:hAnsi="Times" w:cs="Times"/>
        </w:rPr>
        <w:t>improve</w:t>
      </w:r>
      <w:r w:rsidRPr="00A668CF">
        <w:rPr>
          <w:rFonts w:ascii="Times" w:hAnsi="Times" w:cs="Times"/>
        </w:rPr>
        <w:t xml:space="preserve"> research and development in Europe. </w:t>
      </w:r>
    </w:p>
    <w:p w:rsidR="00854E9D" w:rsidRPr="00E332EB" w:rsidRDefault="00854E9D" w:rsidP="00770904">
      <w:pPr>
        <w:autoSpaceDE w:val="0"/>
        <w:autoSpaceDN w:val="0"/>
        <w:adjustRightInd w:val="0"/>
        <w:rPr>
          <w:rFonts w:ascii="Times" w:hAnsi="Times" w:cs="Times"/>
          <w:highlight w:val="yellow"/>
        </w:rPr>
      </w:pPr>
    </w:p>
    <w:p w:rsidR="00854E9D" w:rsidRPr="005F3174" w:rsidRDefault="00854E9D" w:rsidP="00770904">
      <w:pPr>
        <w:rPr>
          <w:rFonts w:cs="TimesNewRoman"/>
          <w:b/>
          <w:bCs/>
          <w:lang w:eastAsia="zh-CN"/>
        </w:rPr>
      </w:pPr>
      <w:r w:rsidRPr="005F3174">
        <w:rPr>
          <w:rFonts w:cs="Times"/>
          <w:b/>
          <w:bCs/>
        </w:rPr>
        <w:t>Contract between public authorities (</w:t>
      </w:r>
      <w:r w:rsidRPr="00832D33">
        <w:rPr>
          <w:rFonts w:cs="TimesNewRoman"/>
          <w:b/>
          <w:bCs/>
          <w:i/>
          <w:lang w:eastAsia="zh-CN"/>
        </w:rPr>
        <w:t>Article 11</w:t>
      </w:r>
      <w:r>
        <w:rPr>
          <w:rFonts w:cs="TimesNewRoman"/>
          <w:b/>
          <w:bCs/>
          <w:i/>
          <w:lang w:eastAsia="zh-CN"/>
        </w:rPr>
        <w:t>:</w:t>
      </w:r>
      <w:r w:rsidRPr="00832D33">
        <w:rPr>
          <w:rFonts w:cs="TimesNewRoman"/>
          <w:b/>
          <w:bCs/>
          <w:i/>
          <w:lang w:eastAsia="zh-CN"/>
        </w:rPr>
        <w:t xml:space="preserve"> Relations between public authorities</w:t>
      </w:r>
      <w:r w:rsidRPr="005F3174">
        <w:rPr>
          <w:rFonts w:cs="TimesNewRoman"/>
          <w:b/>
          <w:bCs/>
          <w:lang w:eastAsia="zh-CN"/>
        </w:rPr>
        <w:t>)</w:t>
      </w:r>
    </w:p>
    <w:p w:rsidR="00854E9D" w:rsidRPr="005F3174" w:rsidRDefault="00854E9D" w:rsidP="00770904">
      <w:pPr>
        <w:autoSpaceDE w:val="0"/>
        <w:autoSpaceDN w:val="0"/>
        <w:adjustRightInd w:val="0"/>
        <w:rPr>
          <w:rFonts w:cs="Times"/>
        </w:rPr>
      </w:pPr>
      <w:r w:rsidRPr="005F3174">
        <w:rPr>
          <w:rFonts w:cs="Times"/>
        </w:rPr>
        <w:t>LRAs</w:t>
      </w:r>
      <w:r>
        <w:rPr>
          <w:rFonts w:cs="Times"/>
        </w:rPr>
        <w:t xml:space="preserve"> have</w:t>
      </w:r>
      <w:r w:rsidRPr="005F3174">
        <w:rPr>
          <w:rFonts w:cs="Times"/>
        </w:rPr>
        <w:t xml:space="preserve"> call</w:t>
      </w:r>
      <w:r>
        <w:rPr>
          <w:rFonts w:cs="Times"/>
        </w:rPr>
        <w:t>ed for an exclusion in the new d</w:t>
      </w:r>
      <w:r w:rsidRPr="005F3174">
        <w:rPr>
          <w:rFonts w:cs="Times"/>
        </w:rPr>
        <w:t>irective for contracts between CAs. The proposal excludes contracts from the scope of the directive when:</w:t>
      </w:r>
    </w:p>
    <w:p w:rsidR="00854E9D" w:rsidRPr="005F3174" w:rsidRDefault="00854E9D" w:rsidP="00770904">
      <w:pPr>
        <w:pStyle w:val="ListParagraph"/>
        <w:numPr>
          <w:ilvl w:val="0"/>
          <w:numId w:val="21"/>
        </w:numPr>
        <w:autoSpaceDE w:val="0"/>
        <w:autoSpaceDN w:val="0"/>
        <w:adjustRightInd w:val="0"/>
        <w:rPr>
          <w:rFonts w:cs="Times"/>
        </w:rPr>
      </w:pPr>
      <w:r w:rsidRPr="005F3174">
        <w:rPr>
          <w:rFonts w:cs="Times"/>
        </w:rPr>
        <w:t>the CA exercises over the legal person concerned a decisive influence over both strategic objectives and significant decisions. There is also no private participation in the controlled legal person</w:t>
      </w:r>
      <w:r w:rsidRPr="005F3174">
        <w:rPr>
          <w:rFonts w:cs="TimesNewRoman"/>
          <w:sz w:val="24"/>
          <w:szCs w:val="24"/>
          <w:lang w:eastAsia="zh-CN"/>
        </w:rPr>
        <w:t>.</w:t>
      </w:r>
      <w:r w:rsidRPr="005F3174">
        <w:rPr>
          <w:rFonts w:cs="Times"/>
        </w:rPr>
        <w:t xml:space="preserve"> </w:t>
      </w:r>
    </w:p>
    <w:p w:rsidR="00854E9D" w:rsidRPr="005F3174" w:rsidRDefault="00854E9D" w:rsidP="00770904">
      <w:pPr>
        <w:pStyle w:val="ListParagraph"/>
        <w:numPr>
          <w:ilvl w:val="0"/>
          <w:numId w:val="21"/>
        </w:numPr>
        <w:autoSpaceDE w:val="0"/>
        <w:autoSpaceDN w:val="0"/>
        <w:adjustRightInd w:val="0"/>
        <w:rPr>
          <w:rFonts w:cs="Times"/>
        </w:rPr>
      </w:pPr>
      <w:r w:rsidRPr="005F3174">
        <w:rPr>
          <w:rFonts w:cs="Times"/>
        </w:rPr>
        <w:t xml:space="preserve">The scope of the contract is genuine cooperation, pursuing public interest, without financial transfer or private participation. </w:t>
      </w:r>
    </w:p>
    <w:p w:rsidR="00854E9D" w:rsidRPr="005F3174" w:rsidRDefault="00854E9D" w:rsidP="00770904">
      <w:pPr>
        <w:autoSpaceDE w:val="0"/>
        <w:autoSpaceDN w:val="0"/>
        <w:adjustRightInd w:val="0"/>
        <w:rPr>
          <w:rFonts w:cs="Times"/>
        </w:rPr>
      </w:pPr>
    </w:p>
    <w:p w:rsidR="00854E9D" w:rsidRDefault="00854E9D" w:rsidP="00770904">
      <w:pPr>
        <w:autoSpaceDE w:val="0"/>
        <w:autoSpaceDN w:val="0"/>
        <w:adjustRightInd w:val="0"/>
        <w:rPr>
          <w:rFonts w:ascii="Times" w:hAnsi="Times"/>
        </w:rPr>
      </w:pPr>
      <w:r>
        <w:rPr>
          <w:rFonts w:ascii="Times" w:hAnsi="Times"/>
        </w:rPr>
        <w:t xml:space="preserve">Moreover, the proposal for a new regulation on concession also provides clarifications regarding the degree to which public-public cooperation is covered by EU legislation. </w:t>
      </w:r>
    </w:p>
    <w:p w:rsidR="00854E9D" w:rsidRPr="00A677F9" w:rsidRDefault="00854E9D" w:rsidP="00770904">
      <w:pPr>
        <w:autoSpaceDE w:val="0"/>
        <w:autoSpaceDN w:val="0"/>
        <w:adjustRightInd w:val="0"/>
        <w:jc w:val="left"/>
        <w:rPr>
          <w:b/>
          <w:bCs/>
        </w:rPr>
      </w:pPr>
    </w:p>
    <w:p w:rsidR="00854E9D" w:rsidRPr="00A677F9" w:rsidRDefault="00854E9D" w:rsidP="00770904">
      <w:pPr>
        <w:autoSpaceDE w:val="0"/>
        <w:autoSpaceDN w:val="0"/>
        <w:adjustRightInd w:val="0"/>
        <w:rPr>
          <w:b/>
          <w:bCs/>
        </w:rPr>
      </w:pPr>
      <w:r w:rsidRPr="00A677F9">
        <w:rPr>
          <w:b/>
          <w:bCs/>
        </w:rPr>
        <w:t xml:space="preserve">Past experience </w:t>
      </w:r>
      <w:r w:rsidRPr="00A677F9">
        <w:rPr>
          <w:b/>
          <w:bCs/>
          <w:i/>
          <w:iCs/>
        </w:rPr>
        <w:t>(</w:t>
      </w:r>
      <w:r w:rsidRPr="00A677F9">
        <w:rPr>
          <w:b/>
          <w:bCs/>
          <w:i/>
          <w:iCs/>
          <w:lang w:eastAsia="zh-CN"/>
        </w:rPr>
        <w:t>Article 55.3</w:t>
      </w:r>
      <w:r>
        <w:rPr>
          <w:b/>
          <w:bCs/>
          <w:i/>
          <w:iCs/>
          <w:lang w:eastAsia="zh-CN"/>
        </w:rPr>
        <w:t>:</w:t>
      </w:r>
      <w:r w:rsidRPr="00A677F9">
        <w:rPr>
          <w:b/>
          <w:bCs/>
          <w:i/>
          <w:iCs/>
          <w:lang w:eastAsia="zh-CN"/>
        </w:rPr>
        <w:t xml:space="preserve"> Exclusion grounds)</w:t>
      </w:r>
    </w:p>
    <w:p w:rsidR="00854E9D" w:rsidRPr="00A677F9" w:rsidRDefault="00854E9D" w:rsidP="00770904">
      <w:pPr>
        <w:autoSpaceDE w:val="0"/>
        <w:autoSpaceDN w:val="0"/>
        <w:adjustRightInd w:val="0"/>
        <w:rPr>
          <w:rFonts w:cs="Times"/>
        </w:rPr>
      </w:pPr>
      <w:r w:rsidRPr="00A677F9">
        <w:rPr>
          <w:rFonts w:cs="Times"/>
        </w:rPr>
        <w:t>In line with the opinion of individual LRAs and the CoR, the proposal a</w:t>
      </w:r>
      <w:r>
        <w:rPr>
          <w:rFonts w:cs="Times"/>
        </w:rPr>
        <w:t xml:space="preserve">ttaches </w:t>
      </w:r>
      <w:r w:rsidRPr="00A677F9">
        <w:rPr>
          <w:rFonts w:cs="Times"/>
        </w:rPr>
        <w:t xml:space="preserve">more importance to past experience. The CA may exclude an economic operator </w:t>
      </w:r>
      <w:r w:rsidRPr="00A677F9">
        <w:rPr>
          <w:rFonts w:cs="TimesNewRoman"/>
          <w:lang w:eastAsia="zh-CN"/>
        </w:rPr>
        <w:t>where it has shown significan</w:t>
      </w:r>
      <w:r>
        <w:rPr>
          <w:rFonts w:cs="TimesNewRoman"/>
          <w:lang w:eastAsia="zh-CN"/>
        </w:rPr>
        <w:t xml:space="preserve">t or persistent deficiencies. </w:t>
      </w:r>
      <w:r w:rsidRPr="00A677F9">
        <w:rPr>
          <w:rFonts w:cs="Times"/>
        </w:rPr>
        <w:t xml:space="preserve">CAs should </w:t>
      </w:r>
      <w:r>
        <w:rPr>
          <w:rFonts w:cs="Times"/>
        </w:rPr>
        <w:t xml:space="preserve">therefore </w:t>
      </w:r>
      <w:r w:rsidRPr="00A677F9">
        <w:rPr>
          <w:rFonts w:cs="Times"/>
        </w:rPr>
        <w:t xml:space="preserve">benefit from previous experience </w:t>
      </w:r>
      <w:r>
        <w:rPr>
          <w:rFonts w:cs="Times"/>
        </w:rPr>
        <w:t>of</w:t>
      </w:r>
      <w:r w:rsidRPr="00A677F9">
        <w:rPr>
          <w:rFonts w:cs="Times"/>
        </w:rPr>
        <w:t xml:space="preserve"> an economic operator in future calls for tender.</w:t>
      </w:r>
    </w:p>
    <w:p w:rsidR="00854E9D" w:rsidRPr="00A677F9" w:rsidRDefault="00854E9D" w:rsidP="00770904">
      <w:pPr>
        <w:rPr>
          <w:rFonts w:cs="Times"/>
        </w:rPr>
      </w:pPr>
    </w:p>
    <w:p w:rsidR="00854E9D" w:rsidRPr="00A677F9" w:rsidRDefault="00854E9D" w:rsidP="00770904"/>
    <w:p w:rsidR="00854E9D" w:rsidRPr="00A677F9" w:rsidRDefault="00854E9D" w:rsidP="00770904">
      <w:pPr>
        <w:pStyle w:val="Heading2"/>
      </w:pPr>
      <w:bookmarkStart w:id="12" w:name="_Toc189650452"/>
      <w:r w:rsidRPr="00A677F9">
        <w:t>3.2   Aspects of the proposals that could be seen as negative by LRAs</w:t>
      </w:r>
      <w:bookmarkEnd w:id="12"/>
    </w:p>
    <w:p w:rsidR="00854E9D" w:rsidRPr="00A677F9" w:rsidRDefault="00854E9D" w:rsidP="00770904">
      <w:pPr>
        <w:shd w:val="clear" w:color="auto" w:fill="FFFFFF"/>
        <w:rPr>
          <w:b/>
          <w:bCs/>
          <w:sz w:val="32"/>
          <w:szCs w:val="32"/>
        </w:rPr>
      </w:pPr>
    </w:p>
    <w:p w:rsidR="00854E9D" w:rsidRPr="00A677F9" w:rsidRDefault="00854E9D" w:rsidP="00770904">
      <w:pPr>
        <w:pStyle w:val="ListParagraph"/>
        <w:shd w:val="clear" w:color="auto" w:fill="FFFFFF"/>
        <w:ind w:left="0"/>
        <w:rPr>
          <w:b/>
          <w:bCs/>
        </w:rPr>
      </w:pPr>
      <w:r w:rsidRPr="00A677F9">
        <w:rPr>
          <w:b/>
          <w:bCs/>
        </w:rPr>
        <w:t xml:space="preserve">Use of strategic procurement outside the subject matter of the contract. </w:t>
      </w:r>
    </w:p>
    <w:p w:rsidR="00854E9D" w:rsidRPr="00A677F9" w:rsidRDefault="00854E9D" w:rsidP="00770904">
      <w:pPr>
        <w:rPr>
          <w:rFonts w:cs="Times"/>
        </w:rPr>
      </w:pPr>
      <w:r w:rsidRPr="00A677F9">
        <w:rPr>
          <w:rFonts w:cs="Times"/>
        </w:rPr>
        <w:t>LRAs believe that relevance to the subject matter of the call for tender should not be required when appl</w:t>
      </w:r>
      <w:r>
        <w:rPr>
          <w:rFonts w:cs="Times"/>
        </w:rPr>
        <w:t>ying additional criteria relating</w:t>
      </w:r>
      <w:r w:rsidRPr="00A677F9">
        <w:rPr>
          <w:rFonts w:cs="Times"/>
        </w:rPr>
        <w:t xml:space="preserve"> to innovation, social inclusion and the environment in order to better pursue </w:t>
      </w:r>
      <w:r>
        <w:rPr>
          <w:rFonts w:cs="Times"/>
        </w:rPr>
        <w:t xml:space="preserve">the </w:t>
      </w:r>
      <w:r w:rsidRPr="00A677F9">
        <w:rPr>
          <w:rFonts w:cs="Times"/>
        </w:rPr>
        <w:t>strategic objective</w:t>
      </w:r>
      <w:r>
        <w:rPr>
          <w:rFonts w:cs="Times"/>
        </w:rPr>
        <w:t>s of Europe</w:t>
      </w:r>
      <w:r w:rsidRPr="00A677F9">
        <w:rPr>
          <w:rFonts w:cs="Times"/>
        </w:rPr>
        <w:t xml:space="preserve"> 2020. Although the new proposal encourages a </w:t>
      </w:r>
      <w:r>
        <w:rPr>
          <w:rFonts w:cs="Times"/>
        </w:rPr>
        <w:t>CA</w:t>
      </w:r>
      <w:r w:rsidRPr="00A677F9">
        <w:rPr>
          <w:rFonts w:cs="Times"/>
        </w:rPr>
        <w:t xml:space="preserve"> to use environmental or social criteria, they should always be linked to the subject matter of the contract, e.g. Art. 41. This will limit the potential impact of procurement since it does not allow the </w:t>
      </w:r>
      <w:r>
        <w:rPr>
          <w:rFonts w:cs="Times"/>
        </w:rPr>
        <w:t>CA to fully exploit its</w:t>
      </w:r>
      <w:r w:rsidRPr="00A677F9">
        <w:rPr>
          <w:rFonts w:cs="Times"/>
        </w:rPr>
        <w:t xml:space="preserve"> purchasing power </w:t>
      </w:r>
      <w:r>
        <w:rPr>
          <w:rFonts w:cs="Times"/>
        </w:rPr>
        <w:t xml:space="preserve">in order </w:t>
      </w:r>
      <w:r w:rsidRPr="00A677F9">
        <w:rPr>
          <w:rFonts w:cs="Times"/>
        </w:rPr>
        <w:t xml:space="preserve">to achieve other ‘horizontal’ objectives. For example, the requirement to employ disabled people will not be allowed under this new proposal and may be treated as discriminatory. </w:t>
      </w:r>
    </w:p>
    <w:p w:rsidR="00854E9D" w:rsidRPr="00A677F9" w:rsidRDefault="00854E9D" w:rsidP="00770904">
      <w:pPr>
        <w:rPr>
          <w:highlight w:val="red"/>
        </w:rPr>
      </w:pPr>
      <w:r w:rsidRPr="00A677F9">
        <w:rPr>
          <w:rFonts w:cs="Times"/>
        </w:rPr>
        <w:t xml:space="preserve"> </w:t>
      </w:r>
    </w:p>
    <w:p w:rsidR="00854E9D" w:rsidRPr="00A677F9" w:rsidRDefault="00854E9D" w:rsidP="00770904">
      <w:pPr>
        <w:pStyle w:val="ListParagraph"/>
        <w:ind w:left="0"/>
        <w:rPr>
          <w:b/>
          <w:bCs/>
        </w:rPr>
      </w:pPr>
      <w:r w:rsidRPr="00A677F9">
        <w:rPr>
          <w:b/>
          <w:bCs/>
        </w:rPr>
        <w:t>Concessions</w:t>
      </w:r>
    </w:p>
    <w:p w:rsidR="00854E9D" w:rsidRDefault="00854E9D" w:rsidP="00770904">
      <w:pPr>
        <w:pStyle w:val="ListParagraph"/>
        <w:ind w:left="0"/>
      </w:pPr>
      <w:r w:rsidRPr="00A677F9">
        <w:t xml:space="preserve">The common opinion of LRAs is represented </w:t>
      </w:r>
      <w:r>
        <w:t>by</w:t>
      </w:r>
      <w:r w:rsidRPr="00A677F9">
        <w:t xml:space="preserve"> the CoR</w:t>
      </w:r>
      <w:r>
        <w:t>’s position</w:t>
      </w:r>
      <w:r w:rsidRPr="00A677F9">
        <w:t xml:space="preserve"> in </w:t>
      </w:r>
      <w:r>
        <w:t xml:space="preserve">its </w:t>
      </w:r>
      <w:r w:rsidRPr="00A677F9">
        <w:t>2007 opinion on Public-Private Partnerships (PPP) and</w:t>
      </w:r>
      <w:r w:rsidRPr="0064349E">
        <w:t xml:space="preserve"> Concessions</w:t>
      </w:r>
      <w:bookmarkStart w:id="13" w:name="_Ref311485667"/>
      <w:r w:rsidRPr="0064349E">
        <w:rPr>
          <w:rStyle w:val="FootnoteReference"/>
        </w:rPr>
        <w:footnoteReference w:id="25"/>
      </w:r>
      <w:bookmarkEnd w:id="13"/>
      <w:r w:rsidRPr="0064349E">
        <w:t xml:space="preserve">. </w:t>
      </w:r>
      <w:r w:rsidRPr="00403F07">
        <w:t>More recently</w:t>
      </w:r>
      <w:r>
        <w:rPr>
          <w:rStyle w:val="FootnoteReference"/>
        </w:rPr>
        <w:footnoteReference w:id="26"/>
      </w:r>
      <w:r w:rsidRPr="00403F07">
        <w:t xml:space="preserve">, the CoR reasserted its view that </w:t>
      </w:r>
      <w:r>
        <w:t>it is still</w:t>
      </w:r>
      <w:r w:rsidRPr="00403F07">
        <w:t xml:space="preserve"> too early for the Commission to regulate on service concessions. However, </w:t>
      </w:r>
      <w:r>
        <w:t xml:space="preserve">the CoR recommended that, </w:t>
      </w:r>
      <w:r w:rsidRPr="00403F07">
        <w:t xml:space="preserve">if the Commission decides that service concessions are to be covered by the procurement </w:t>
      </w:r>
      <w:r>
        <w:t>d</w:t>
      </w:r>
      <w:r w:rsidRPr="00403F07">
        <w:t>irectives, it is extremely important that these rules be as simple a</w:t>
      </w:r>
      <w:r>
        <w:t>nd flexible as possible. In this</w:t>
      </w:r>
      <w:r w:rsidRPr="00403F07">
        <w:t xml:space="preserve"> case</w:t>
      </w:r>
      <w:r>
        <w:t>,</w:t>
      </w:r>
      <w:r w:rsidRPr="00403F07">
        <w:t xml:space="preserve"> they should be guided by the provisions of the </w:t>
      </w:r>
      <w:r>
        <w:t>d</w:t>
      </w:r>
      <w:r w:rsidRPr="00403F07">
        <w:t>irectives on public works concessions and on no account by the provisions governing procurement of services. Another important</w:t>
      </w:r>
      <w:r>
        <w:t xml:space="preserve"> concern here is the specific nature of services of</w:t>
      </w:r>
      <w:r w:rsidRPr="00403F07">
        <w:t xml:space="preserve"> general economic interest con</w:t>
      </w:r>
      <w:r>
        <w:t>cessions and their importance to l</w:t>
      </w:r>
      <w:r w:rsidRPr="00403F07">
        <w:t xml:space="preserve">ocal economies. </w:t>
      </w:r>
    </w:p>
    <w:p w:rsidR="00854E9D" w:rsidRDefault="00854E9D" w:rsidP="00770904">
      <w:pPr>
        <w:pStyle w:val="ListParagraph"/>
        <w:ind w:left="0"/>
      </w:pPr>
    </w:p>
    <w:p w:rsidR="00854E9D" w:rsidRDefault="00854E9D" w:rsidP="00770904">
      <w:r w:rsidRPr="00403F07">
        <w:t>One important thing to note is that</w:t>
      </w:r>
      <w:r>
        <w:t>,</w:t>
      </w:r>
      <w:r w:rsidRPr="00403F07">
        <w:t xml:space="preserve"> even if service concessions are exempted from detailed procurement procedures, they are nonetheless subject to the principles</w:t>
      </w:r>
      <w:r>
        <w:t xml:space="preserve"> and rules enshrined in the EU T</w:t>
      </w:r>
      <w:r w:rsidRPr="00403F07">
        <w:t xml:space="preserve">reaties. </w:t>
      </w:r>
      <w:r>
        <w:t>More specifically, the principles arising from Article 34 and Article 37 of the Treaty on the Functioning of the European Union include not only non-discrimination and equality of treatment, but also transparency, mutual recognition and proportionality</w:t>
      </w:r>
      <w:r>
        <w:rPr>
          <w:rStyle w:val="FootnoteReference"/>
        </w:rPr>
        <w:footnoteReference w:id="27"/>
      </w:r>
      <w:r w:rsidRPr="00403F07">
        <w:t>. The European Court of Just</w:t>
      </w:r>
      <w:r>
        <w:t>ice (</w:t>
      </w:r>
      <w:r w:rsidRPr="00403F07">
        <w:t>CJ</w:t>
      </w:r>
      <w:r>
        <w:t>EU</w:t>
      </w:r>
      <w:r w:rsidRPr="00403F07">
        <w:t>) further clarified</w:t>
      </w:r>
      <w:r>
        <w:rPr>
          <w:rStyle w:val="FootnoteReference"/>
        </w:rPr>
        <w:footnoteReference w:id="28"/>
      </w:r>
      <w:r w:rsidRPr="00403F07">
        <w:t xml:space="preserve"> that the basic principles of the </w:t>
      </w:r>
      <w:r>
        <w:t xml:space="preserve">Treaties </w:t>
      </w:r>
      <w:r w:rsidRPr="00403F07">
        <w:t>required potential bidders to have equal acc</w:t>
      </w:r>
      <w:r>
        <w:t>ess to suitable information regarding</w:t>
      </w:r>
      <w:r w:rsidRPr="00403F07">
        <w:t xml:space="preserve"> the intent of a contracting entity to set up a public-private entity and to award it a public contract or a concession. This implies an obligation of transparency which consists in ensuring, for the benefit of any potential </w:t>
      </w:r>
      <w:r>
        <w:t>bidder</w:t>
      </w:r>
      <w:r w:rsidRPr="00403F07">
        <w:t>, a degree of advertising sufficient to enable the market to be opened up to competition</w:t>
      </w:r>
      <w:r>
        <w:rPr>
          <w:rStyle w:val="FootnoteReference"/>
        </w:rPr>
        <w:footnoteReference w:id="29"/>
      </w:r>
      <w:r>
        <w:t xml:space="preserve">. Furthermore, the </w:t>
      </w:r>
      <w:r w:rsidRPr="00403F07">
        <w:t>CJ</w:t>
      </w:r>
      <w:r>
        <w:t>EU</w:t>
      </w:r>
      <w:r w:rsidRPr="00403F07">
        <w:t xml:space="preserve"> judgment in the Eurawasser case</w:t>
      </w:r>
      <w:r>
        <w:rPr>
          <w:rStyle w:val="FootnoteReference"/>
        </w:rPr>
        <w:footnoteReference w:id="30"/>
      </w:r>
      <w:r w:rsidRPr="00403F07">
        <w:t xml:space="preserve"> re-defined the nature and extent of the risk which needs to be accepted by the concessionaire and thus potentially widened the number of transactions which may be classified as concession</w:t>
      </w:r>
      <w:r>
        <w:t>s</w:t>
      </w:r>
      <w:r w:rsidRPr="00403F07">
        <w:t>.</w:t>
      </w:r>
    </w:p>
    <w:p w:rsidR="00854E9D" w:rsidRDefault="00854E9D" w:rsidP="00770904">
      <w:pPr>
        <w:pStyle w:val="ListParagraph"/>
        <w:ind w:left="0"/>
      </w:pPr>
      <w:r>
        <w:t xml:space="preserve">The Commission does not meet CoR expectations in the new proposal on concessions. Moreover, the new proposal does not only express  general principles but also lays down specific obligations for contracting authorities, mirroring the proposal for PP in a less pervasive way. In fact, the proposal governs: </w:t>
      </w:r>
      <w:r>
        <w:rPr>
          <w:rFonts w:ascii="Times" w:hAnsi="Times"/>
        </w:rPr>
        <w:t xml:space="preserve">publication in the </w:t>
      </w:r>
      <w:r>
        <w:rPr>
          <w:rFonts w:ascii="Times" w:hAnsi="Times"/>
          <w:i/>
        </w:rPr>
        <w:t>Official Journal of the European Union</w:t>
      </w:r>
      <w:r>
        <w:rPr>
          <w:rFonts w:ascii="Times" w:hAnsi="Times"/>
        </w:rPr>
        <w:t>, deadlines, selection and exclusion criteria, award criteria, procedural guarantees and remedies.</w:t>
      </w:r>
    </w:p>
    <w:p w:rsidR="00854E9D" w:rsidRPr="00E332EB" w:rsidRDefault="00854E9D" w:rsidP="00770904">
      <w:pPr>
        <w:widowControl w:val="0"/>
        <w:autoSpaceDE w:val="0"/>
        <w:autoSpaceDN w:val="0"/>
        <w:adjustRightInd w:val="0"/>
        <w:rPr>
          <w:rFonts w:ascii="Times" w:hAnsi="Times" w:cs="Times"/>
          <w:sz w:val="32"/>
          <w:szCs w:val="32"/>
        </w:rPr>
      </w:pPr>
    </w:p>
    <w:p w:rsidR="00854E9D" w:rsidRPr="003341C7" w:rsidRDefault="00854E9D" w:rsidP="00770904">
      <w:pPr>
        <w:pStyle w:val="Subheading2"/>
        <w:rPr>
          <w:sz w:val="28"/>
          <w:szCs w:val="28"/>
          <w:lang w:val="en-GB"/>
        </w:rPr>
      </w:pPr>
      <w:r w:rsidRPr="00CC2A40">
        <w:rPr>
          <w:bCs w:val="0"/>
          <w:sz w:val="28"/>
          <w:szCs w:val="28"/>
          <w:lang w:val="en-US"/>
        </w:rPr>
        <w:t xml:space="preserve">Social </w:t>
      </w:r>
      <w:r w:rsidRPr="00CA79B1">
        <w:rPr>
          <w:bCs w:val="0"/>
          <w:sz w:val="28"/>
          <w:szCs w:val="28"/>
          <w:lang w:val="en-US"/>
        </w:rPr>
        <w:t xml:space="preserve">services </w:t>
      </w:r>
      <w:r w:rsidRPr="00CA79B1">
        <w:rPr>
          <w:bCs w:val="0"/>
          <w:i/>
          <w:sz w:val="28"/>
          <w:szCs w:val="28"/>
          <w:lang w:val="en-US"/>
        </w:rPr>
        <w:t>(</w:t>
      </w:r>
      <w:r w:rsidRPr="00E53E51">
        <w:rPr>
          <w:bCs w:val="0"/>
          <w:i/>
          <w:sz w:val="28"/>
          <w:szCs w:val="28"/>
          <w:lang w:val="en-US"/>
        </w:rPr>
        <w:t xml:space="preserve">Title III, </w:t>
      </w:r>
      <w:r w:rsidRPr="007A5F34">
        <w:rPr>
          <w:bCs w:val="0"/>
          <w:i/>
          <w:sz w:val="28"/>
          <w:szCs w:val="28"/>
          <w:lang w:val="en-US" w:eastAsia="zh-CN"/>
        </w:rPr>
        <w:t>Chapter</w:t>
      </w:r>
      <w:r w:rsidRPr="003341C7">
        <w:rPr>
          <w:bCs w:val="0"/>
          <w:i/>
          <w:sz w:val="28"/>
          <w:szCs w:val="28"/>
          <w:lang w:val="en-US" w:eastAsia="zh-CN"/>
        </w:rPr>
        <w:t xml:space="preserve"> I: Social and other specific services</w:t>
      </w:r>
      <w:r w:rsidRPr="003341C7">
        <w:rPr>
          <w:bCs w:val="0"/>
          <w:sz w:val="28"/>
          <w:szCs w:val="28"/>
          <w:lang w:val="en-US" w:eastAsia="zh-CN"/>
        </w:rPr>
        <w:t>)</w:t>
      </w:r>
    </w:p>
    <w:p w:rsidR="00854E9D" w:rsidRDefault="00854E9D" w:rsidP="00770904">
      <w:r>
        <w:t>Social services are now included in B-services and are currently exempt from the procedural requirements of the directives. The proposal provides a specific regime for public contracts for these services, with a higher threshold of € 500,000. Even if it imposes lighter obligations than for other PP contracts, it will represent an additional administrative cost for LRAs. Since there is very limited cross-border interest in these services (direct cross-border procurement accounts for just 1.6% of public contracts between 2006 and 2009), LRAs believe that burdens on them should be minimised.</w:t>
      </w:r>
    </w:p>
    <w:p w:rsidR="00854E9D" w:rsidRPr="00E53E51" w:rsidRDefault="00854E9D" w:rsidP="00770904">
      <w:pPr>
        <w:rPr>
          <w:b/>
          <w:sz w:val="46"/>
        </w:rPr>
      </w:pPr>
      <w:r>
        <w:br w:type="page"/>
      </w:r>
    </w:p>
    <w:p w:rsidR="00854E9D" w:rsidRPr="00A34001" w:rsidRDefault="00854E9D" w:rsidP="00770904">
      <w:pPr>
        <w:pStyle w:val="Heading1"/>
        <w:rPr>
          <w:sz w:val="46"/>
        </w:rPr>
      </w:pPr>
      <w:bookmarkStart w:id="14" w:name="_Toc189650453"/>
      <w:r w:rsidRPr="00E53E51">
        <w:rPr>
          <w:bCs w:val="0"/>
          <w:sz w:val="46"/>
        </w:rPr>
        <w:t>Subsidiarity and Proportionality</w:t>
      </w:r>
      <w:bookmarkEnd w:id="14"/>
    </w:p>
    <w:p w:rsidR="00854E9D" w:rsidRPr="00E332EB" w:rsidRDefault="00854E9D" w:rsidP="00770904"/>
    <w:p w:rsidR="00854E9D" w:rsidRDefault="00854E9D" w:rsidP="00770904">
      <w:r>
        <w:t>In order t</w:t>
      </w:r>
      <w:r w:rsidRPr="00403F07">
        <w:t>o assist regional parliaments in carrying out their own subsidiarity and proportionality (S&amp;P) analysis in accordance with the strict deadlines of the Early Warning System mechanisms, the current section provides a</w:t>
      </w:r>
      <w:r>
        <w:t>n</w:t>
      </w:r>
      <w:r w:rsidRPr="00403F07">
        <w:t xml:space="preserve"> </w:t>
      </w:r>
      <w:r>
        <w:t xml:space="preserve">initial </w:t>
      </w:r>
      <w:r w:rsidRPr="00403F07">
        <w:t xml:space="preserve">overview of S&amp;P issues </w:t>
      </w:r>
      <w:r>
        <w:t xml:space="preserve">that </w:t>
      </w:r>
      <w:r w:rsidRPr="00403F07">
        <w:t xml:space="preserve">the new </w:t>
      </w:r>
      <w:r>
        <w:t>directives may raise</w:t>
      </w:r>
      <w:r w:rsidRPr="00403F07">
        <w:t xml:space="preserve">. </w:t>
      </w:r>
    </w:p>
    <w:p w:rsidR="00854E9D" w:rsidRPr="00E332EB" w:rsidRDefault="00854E9D" w:rsidP="00770904"/>
    <w:p w:rsidR="00854E9D" w:rsidRPr="00E332EB" w:rsidRDefault="00854E9D" w:rsidP="00770904">
      <w:r w:rsidRPr="00403F07">
        <w:t>The analysis has been structured in line with the S&amp;P grid</w:t>
      </w:r>
      <w:r>
        <w:rPr>
          <w:rStyle w:val="FootnoteReference"/>
        </w:rPr>
        <w:footnoteReference w:id="31"/>
      </w:r>
      <w:r w:rsidRPr="00403F07">
        <w:t xml:space="preserve"> developed by the CoR and </w:t>
      </w:r>
      <w:r>
        <w:t>analyses in detail some aspects of the proposals from an</w:t>
      </w:r>
      <w:r w:rsidRPr="00403F07">
        <w:t xml:space="preserve"> S&amp;P </w:t>
      </w:r>
      <w:r>
        <w:t>point of view</w:t>
      </w:r>
      <w:r w:rsidRPr="00403F07">
        <w:t xml:space="preserve">. At </w:t>
      </w:r>
      <w:r>
        <w:t xml:space="preserve">this </w:t>
      </w:r>
      <w:r w:rsidRPr="00403F07">
        <w:t>stage, the analysis seeks to raise the most important issues relevant to LRAs in order to provide guidelines and feed the debate among regional parliaments.</w:t>
      </w:r>
    </w:p>
    <w:p w:rsidR="00854E9D" w:rsidRPr="00E332EB" w:rsidRDefault="00854E9D" w:rsidP="00770904"/>
    <w:p w:rsidR="00854E9D" w:rsidRPr="00E332EB" w:rsidRDefault="00854E9D" w:rsidP="00770904"/>
    <w:p w:rsidR="00854E9D" w:rsidRPr="00E332EB" w:rsidRDefault="00854E9D" w:rsidP="00770904">
      <w:pPr>
        <w:pStyle w:val="Heading2"/>
      </w:pPr>
      <w:bookmarkStart w:id="15" w:name="_Toc189650454"/>
      <w:r w:rsidRPr="00E64DDC">
        <w:t>4.1   Type of Competence / Legal Basis</w:t>
      </w:r>
      <w:bookmarkEnd w:id="15"/>
    </w:p>
    <w:p w:rsidR="00854E9D" w:rsidRPr="00BF002C" w:rsidRDefault="00854E9D" w:rsidP="00770904">
      <w:pPr>
        <w:pStyle w:val="Heading2"/>
      </w:pPr>
    </w:p>
    <w:p w:rsidR="00854E9D" w:rsidRPr="00BF002C" w:rsidRDefault="00854E9D" w:rsidP="00770904">
      <w:r w:rsidRPr="00403F07">
        <w:t xml:space="preserve">The legal basis for EU action </w:t>
      </w:r>
      <w:r>
        <w:t>is provided by</w:t>
      </w:r>
      <w:r w:rsidRPr="00403F07">
        <w:t xml:space="preserve"> </w:t>
      </w:r>
      <w:r w:rsidRPr="00403F07">
        <w:rPr>
          <w:b/>
          <w:bCs/>
        </w:rPr>
        <w:t>Article</w:t>
      </w:r>
      <w:r>
        <w:rPr>
          <w:b/>
          <w:bCs/>
        </w:rPr>
        <w:t>s</w:t>
      </w:r>
      <w:r w:rsidRPr="00403F07">
        <w:rPr>
          <w:b/>
          <w:bCs/>
        </w:rPr>
        <w:t xml:space="preserve"> 53(1),</w:t>
      </w:r>
      <w:r>
        <w:rPr>
          <w:b/>
          <w:bCs/>
        </w:rPr>
        <w:t xml:space="preserve"> </w:t>
      </w:r>
      <w:r w:rsidRPr="00403F07">
        <w:rPr>
          <w:b/>
          <w:bCs/>
        </w:rPr>
        <w:t xml:space="preserve">62, and 114 </w:t>
      </w:r>
      <w:r w:rsidRPr="00403F07">
        <w:t>of the</w:t>
      </w:r>
      <w:r w:rsidRPr="00403F07">
        <w:rPr>
          <w:b/>
          <w:bCs/>
        </w:rPr>
        <w:t xml:space="preserve"> Treaty on the Functioning of the European Union,</w:t>
      </w:r>
      <w:r w:rsidRPr="00403F07">
        <w:t xml:space="preserve"> </w:t>
      </w:r>
      <w:r>
        <w:t>as stated in the preamble to</w:t>
      </w:r>
      <w:r w:rsidRPr="00B66011">
        <w:t xml:space="preserve"> the directives</w:t>
      </w:r>
      <w:r>
        <w:t>.</w:t>
      </w:r>
      <w:r w:rsidRPr="00B66011">
        <w:t xml:space="preserve"> </w:t>
      </w:r>
      <w:r w:rsidRPr="00403F07">
        <w:t xml:space="preserve">These articles authorise the adoption of measures </w:t>
      </w:r>
      <w:r>
        <w:t xml:space="preserve">aimed at </w:t>
      </w:r>
      <w:r w:rsidRPr="00403F07">
        <w:t>the establishment and functioning of the internal market.</w:t>
      </w:r>
    </w:p>
    <w:p w:rsidR="00854E9D" w:rsidRPr="00BF002C" w:rsidRDefault="00854E9D" w:rsidP="00770904"/>
    <w:p w:rsidR="00854E9D" w:rsidRDefault="00854E9D" w:rsidP="00770904">
      <w:r>
        <w:t>C</w:t>
      </w:r>
      <w:r w:rsidRPr="00403F07">
        <w:t xml:space="preserve">ompetence in the field of procurement is a </w:t>
      </w:r>
      <w:r w:rsidRPr="00403F07">
        <w:rPr>
          <w:b/>
          <w:bCs/>
        </w:rPr>
        <w:t>shared</w:t>
      </w:r>
      <w:r w:rsidRPr="00403F07">
        <w:t xml:space="preserve"> one</w:t>
      </w:r>
      <w:r>
        <w:t>; the subsidiarity principle therefore applies.</w:t>
      </w:r>
    </w:p>
    <w:p w:rsidR="00854E9D" w:rsidRPr="00BF002C" w:rsidRDefault="00854E9D" w:rsidP="00770904"/>
    <w:p w:rsidR="00854E9D" w:rsidRPr="00BF002C" w:rsidRDefault="00854E9D" w:rsidP="00770904">
      <w:r>
        <w:t>The EU has the competence to regulate MS procurement policies in order to ensure that policies do not hinder the internal market. The procurement directive is best understood as a negative effort towards harmonisation, in that its aim is to eliminate MS policies that present a hindrance to trade in the PP market</w:t>
      </w:r>
      <w:r>
        <w:rPr>
          <w:rStyle w:val="FootnoteReference"/>
        </w:rPr>
        <w:footnoteReference w:id="32"/>
      </w:r>
      <w:r w:rsidRPr="00403F07">
        <w:t xml:space="preserve">. In short, a </w:t>
      </w:r>
      <w:r>
        <w:t>CA</w:t>
      </w:r>
      <w:r w:rsidRPr="00403F07">
        <w:t xml:space="preserve"> must act fairly in the course of PP. Acting fairly means following the principle of </w:t>
      </w:r>
      <w:r>
        <w:t>‘</w:t>
      </w:r>
      <w:r w:rsidRPr="00CA5FC5">
        <w:t>equal treatment (or non-discrimination</w:t>
      </w:r>
      <w:r w:rsidRPr="00403F07">
        <w:rPr>
          <w:i/>
          <w:iCs/>
        </w:rPr>
        <w:t>)</w:t>
      </w:r>
      <w:r>
        <w:rPr>
          <w:i/>
          <w:iCs/>
        </w:rPr>
        <w:t>’</w:t>
      </w:r>
      <w:r w:rsidRPr="00403F07">
        <w:t xml:space="preserve">, which means that all competitors should have an equal opportunity to compete for the contract. To ensure this level playing field, the principle of transparency must also be applied. The </w:t>
      </w:r>
      <w:r>
        <w:t>‘</w:t>
      </w:r>
      <w:r w:rsidRPr="00CA5FC5">
        <w:t>transparency</w:t>
      </w:r>
      <w:r>
        <w:t>’</w:t>
      </w:r>
      <w:r w:rsidRPr="00403F07">
        <w:t xml:space="preserve"> provisions set out in the </w:t>
      </w:r>
      <w:r>
        <w:t>procurement d</w:t>
      </w:r>
      <w:r w:rsidRPr="00A822DC">
        <w:t>irective</w:t>
      </w:r>
      <w:r w:rsidRPr="00403F07">
        <w:t xml:space="preserve"> essentially require </w:t>
      </w:r>
      <w:r>
        <w:t>CAs</w:t>
      </w:r>
      <w:r w:rsidRPr="00403F07">
        <w:t xml:space="preserve"> to use objective criteria, and to explain the</w:t>
      </w:r>
      <w:r>
        <w:t>se</w:t>
      </w:r>
      <w:r w:rsidRPr="00403F07">
        <w:t xml:space="preserve"> criteria and how they will be used to evaluate the tenders in the tender notice. In addition, EU procurement rules are </w:t>
      </w:r>
      <w:r>
        <w:t>desig</w:t>
      </w:r>
      <w:r w:rsidRPr="00403F07">
        <w:t>ned to remove certain other restrictions on access to the market - even non-discriminatory restrictions - that are consider</w:t>
      </w:r>
      <w:r>
        <w:t xml:space="preserve">ed disproportionate to </w:t>
      </w:r>
      <w:r w:rsidRPr="00403F07">
        <w:t xml:space="preserve">their objectives, in keeping with the </w:t>
      </w:r>
      <w:r>
        <w:t>‘</w:t>
      </w:r>
      <w:r w:rsidRPr="00CA5FC5">
        <w:t>proportionality principle</w:t>
      </w:r>
      <w:r>
        <w:t>’</w:t>
      </w:r>
      <w:r w:rsidRPr="00403F07">
        <w:t>, which requires that government</w:t>
      </w:r>
      <w:r>
        <w:t>s</w:t>
      </w:r>
      <w:r w:rsidRPr="00403F07">
        <w:t xml:space="preserve"> should not take any regulatory action beyond that which is necessary </w:t>
      </w:r>
      <w:r>
        <w:t>in order to achieve</w:t>
      </w:r>
      <w:r w:rsidRPr="00403F07">
        <w:t xml:space="preserve"> the objective of the regulatory action.</w:t>
      </w:r>
    </w:p>
    <w:p w:rsidR="00854E9D" w:rsidRDefault="00854E9D" w:rsidP="00770904"/>
    <w:p w:rsidR="00854E9D" w:rsidRPr="00BF002C" w:rsidRDefault="00854E9D" w:rsidP="00770904">
      <w:r w:rsidRPr="00403F07">
        <w:t>In brief, the EU</w:t>
      </w:r>
      <w:r w:rsidRPr="00C6046D">
        <w:t>’</w:t>
      </w:r>
      <w:r w:rsidRPr="00403F07">
        <w:t>s c</w:t>
      </w:r>
      <w:r>
        <w:t xml:space="preserve">ompetence is to ensure that </w:t>
      </w:r>
      <w:r w:rsidRPr="00403F07">
        <w:t xml:space="preserve">procedures required for </w:t>
      </w:r>
      <w:r>
        <w:t xml:space="preserve">the </w:t>
      </w:r>
      <w:r w:rsidRPr="00403F07">
        <w:t>smooth functioning of the internal market are established. Member States, on the other hand, have broad discretion in regulating the content of their procurement.</w:t>
      </w:r>
    </w:p>
    <w:p w:rsidR="00854E9D" w:rsidRPr="00BF002C" w:rsidRDefault="00854E9D" w:rsidP="00770904"/>
    <w:p w:rsidR="00854E9D" w:rsidRPr="00BF002C" w:rsidRDefault="00854E9D" w:rsidP="00770904"/>
    <w:p w:rsidR="00854E9D" w:rsidRPr="00E332EB" w:rsidRDefault="00854E9D" w:rsidP="00770904">
      <w:pPr>
        <w:pStyle w:val="Heading2"/>
      </w:pPr>
      <w:bookmarkStart w:id="16" w:name="_Toc189650455"/>
      <w:r w:rsidRPr="00A822DC">
        <w:t>4.2   Subsidiarity – ‘Should the EU act?’</w:t>
      </w:r>
      <w:bookmarkEnd w:id="16"/>
    </w:p>
    <w:p w:rsidR="00854E9D" w:rsidRPr="00BF002C" w:rsidRDefault="00854E9D" w:rsidP="00770904"/>
    <w:p w:rsidR="00854E9D" w:rsidRDefault="00854E9D" w:rsidP="00770904">
      <w:r>
        <w:t>The principle of subsidiarity is designed to ensure that decisions are taken as closely as possible to the citizen at the level most appropriate for the intended objective(s) to be achieved effectively. The Lisbon Treaty completed the definition of the EU principle of subsidiarity by referring explicitly to its local and regional dimension.</w:t>
      </w:r>
    </w:p>
    <w:p w:rsidR="00854E9D" w:rsidRPr="00BF002C" w:rsidRDefault="00854E9D" w:rsidP="00770904"/>
    <w:p w:rsidR="00854E9D" w:rsidRPr="00B70B2C" w:rsidRDefault="00854E9D" w:rsidP="00770904">
      <w:r>
        <w:rPr>
          <w:i/>
        </w:rPr>
        <w:t>"</w:t>
      </w:r>
      <w:r w:rsidRPr="00605BAA">
        <w:rPr>
          <w:i/>
        </w:rPr>
        <w:t>[…] [</w:t>
      </w:r>
      <w:r w:rsidRPr="001650BF">
        <w:rPr>
          <w:i/>
        </w:rPr>
        <w:t>I]</w:t>
      </w:r>
      <w:r w:rsidRPr="00E53E51">
        <w:rPr>
          <w:i/>
        </w:rPr>
        <w:t>n areas which do not fall within its exclusive competence, the Union shall act only if and in so far as the objectives of the proposed action cannot be sufficiently achieved by the Member States, either at central level or at regional and local level, but can rather, by reason of the scale or effects of the proposed action, be better achieved at Union level</w:t>
      </w:r>
      <w:r>
        <w:t>"</w:t>
      </w:r>
      <w:r w:rsidRPr="00CA5FC5">
        <w:t xml:space="preserve"> (Article </w:t>
      </w:r>
      <w:r>
        <w:t>5</w:t>
      </w:r>
      <w:r w:rsidRPr="00CA5FC5">
        <w:t xml:space="preserve">, paragraph </w:t>
      </w:r>
      <w:r>
        <w:t>3</w:t>
      </w:r>
      <w:r w:rsidRPr="00CA5FC5">
        <w:t>, Treaty on the European Union).</w:t>
      </w:r>
    </w:p>
    <w:p w:rsidR="00854E9D" w:rsidRPr="00BF002C" w:rsidRDefault="00854E9D" w:rsidP="00770904"/>
    <w:p w:rsidR="00854E9D" w:rsidRPr="00BF002C" w:rsidRDefault="00854E9D" w:rsidP="00770904">
      <w:r>
        <w:t>In order t</w:t>
      </w:r>
      <w:r w:rsidRPr="00403F07">
        <w:t xml:space="preserve">o carry out an analysis of subsidiarity issues, the most relevant factors to consider and a logical break-down of the principle is </w:t>
      </w:r>
      <w:r>
        <w:t>provided</w:t>
      </w:r>
      <w:r w:rsidRPr="00403F07">
        <w:t xml:space="preserve"> (refer to Box 1 below) for the convenience of regional parliaments. </w:t>
      </w:r>
    </w:p>
    <w:p w:rsidR="00854E9D" w:rsidRDefault="00854E9D" w:rsidP="00770904"/>
    <w:p w:rsidR="00854E9D" w:rsidRDefault="00854E9D" w:rsidP="00770904"/>
    <w:p w:rsidR="00854E9D" w:rsidRDefault="00854E9D" w:rsidP="00770904"/>
    <w:p w:rsidR="00854E9D" w:rsidRDefault="00854E9D" w:rsidP="00770904"/>
    <w:p w:rsidR="00854E9D" w:rsidRPr="00BF002C" w:rsidRDefault="00854E9D" w:rsidP="00770904"/>
    <w:p w:rsidR="00854E9D" w:rsidRPr="00E332EB" w:rsidRDefault="00854E9D" w:rsidP="00770904">
      <w:pPr>
        <w:rPr>
          <w:b/>
          <w:bCs/>
          <w:i/>
          <w:iCs/>
        </w:rPr>
      </w:pPr>
      <w:r w:rsidRPr="00E332EB">
        <w:rPr>
          <w:b/>
          <w:bCs/>
          <w:i/>
          <w:iCs/>
        </w:rPr>
        <w:t>Box 1: Guidelines for carrying out subsidiarity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54E9D" w:rsidRPr="00B1589C" w:rsidTr="00053739">
        <w:tc>
          <w:tcPr>
            <w:tcW w:w="5000" w:type="pct"/>
            <w:shd w:val="clear" w:color="auto" w:fill="BFBFBF"/>
          </w:tcPr>
          <w:p w:rsidR="00854E9D" w:rsidRPr="00BF002C" w:rsidRDefault="00854E9D" w:rsidP="00053739"/>
          <w:p w:rsidR="00854E9D" w:rsidRPr="00BF002C" w:rsidRDefault="00854E9D" w:rsidP="00053739">
            <w:r w:rsidRPr="00403F07">
              <w:t>The subsidiarity principle can be summarised as</w:t>
            </w:r>
            <w:r>
              <w:t xml:space="preserve"> follows</w:t>
            </w:r>
            <w:r w:rsidRPr="00403F07">
              <w:t xml:space="preserve">: </w:t>
            </w:r>
            <w:r>
              <w:t>‘</w:t>
            </w:r>
            <w:r w:rsidRPr="00CA5FC5">
              <w:t xml:space="preserve">the EU should act only if its action is deemed to be </w:t>
            </w:r>
            <w:r w:rsidRPr="00CA5FC5">
              <w:rPr>
                <w:b/>
                <w:bCs/>
              </w:rPr>
              <w:t>necessary</w:t>
            </w:r>
            <w:r w:rsidRPr="00CA5FC5">
              <w:t xml:space="preserve"> and to provide a </w:t>
            </w:r>
            <w:r w:rsidRPr="00CA5FC5">
              <w:rPr>
                <w:b/>
                <w:bCs/>
              </w:rPr>
              <w:t>clear benefit</w:t>
            </w:r>
            <w:r>
              <w:rPr>
                <w:b/>
                <w:bCs/>
              </w:rPr>
              <w:t>’</w:t>
            </w:r>
            <w:r w:rsidRPr="00403F07">
              <w:rPr>
                <w:i/>
                <w:iCs/>
              </w:rPr>
              <w:t>.</w:t>
            </w:r>
            <w:r w:rsidRPr="00403F07">
              <w:t xml:space="preserve"> </w:t>
            </w:r>
          </w:p>
          <w:p w:rsidR="00854E9D" w:rsidRPr="00BF002C" w:rsidRDefault="00854E9D" w:rsidP="00053739">
            <w:r>
              <w:t>There</w:t>
            </w:r>
            <w:r w:rsidRPr="00403F07">
              <w:t xml:space="preserve"> are</w:t>
            </w:r>
            <w:r>
              <w:t xml:space="preserve"> therefore</w:t>
            </w:r>
            <w:r w:rsidRPr="00403F07">
              <w:t xml:space="preserve"> two steps in the subsidiarity</w:t>
            </w:r>
            <w:r>
              <w:t xml:space="preserve"> analysis: first to ascertain whether</w:t>
            </w:r>
            <w:r w:rsidRPr="00403F07">
              <w:t xml:space="preserve"> action is necessary at EU level, and then</w:t>
            </w:r>
            <w:r>
              <w:t>,</w:t>
            </w:r>
            <w:r w:rsidRPr="00403F07">
              <w:t xml:space="preserve"> if it is necessary, </w:t>
            </w:r>
            <w:r>
              <w:t xml:space="preserve">to establish </w:t>
            </w:r>
            <w:r w:rsidRPr="00403F07">
              <w:t>what clear benefits it provide</w:t>
            </w:r>
            <w:r>
              <w:t>s</w:t>
            </w:r>
            <w:r w:rsidRPr="00403F07">
              <w:t>.</w:t>
            </w:r>
          </w:p>
          <w:p w:rsidR="00854E9D" w:rsidRPr="00BF002C" w:rsidRDefault="00854E9D" w:rsidP="00053739">
            <w:pPr>
              <w:ind w:left="1080"/>
              <w:outlineLvl w:val="2"/>
            </w:pPr>
          </w:p>
          <w:p w:rsidR="00854E9D" w:rsidRPr="00BF002C" w:rsidRDefault="00854E9D" w:rsidP="00053739">
            <w:r w:rsidRPr="00403F07">
              <w:t xml:space="preserve">In order to evaluate the </w:t>
            </w:r>
            <w:r w:rsidRPr="00CA5FC5">
              <w:rPr>
                <w:b/>
                <w:bCs/>
              </w:rPr>
              <w:t>necessity of the action</w:t>
            </w:r>
            <w:r w:rsidRPr="00403F07">
              <w:t xml:space="preserve">, the following factors need to be </w:t>
            </w:r>
            <w:r>
              <w:t>taken into account</w:t>
            </w:r>
            <w:r w:rsidRPr="00403F07">
              <w:t>:</w:t>
            </w:r>
          </w:p>
          <w:p w:rsidR="00854E9D" w:rsidRPr="00BF002C" w:rsidRDefault="00854E9D" w:rsidP="00053739">
            <w:pPr>
              <w:pStyle w:val="elencopuntatosimboli"/>
              <w:rPr>
                <w:b/>
                <w:bCs/>
              </w:rPr>
            </w:pPr>
            <w:r w:rsidRPr="00403F07">
              <w:rPr>
                <w:b/>
                <w:bCs/>
              </w:rPr>
              <w:t>Trans-national aspects</w:t>
            </w:r>
          </w:p>
          <w:p w:rsidR="00854E9D" w:rsidRPr="00BF002C" w:rsidRDefault="00854E9D" w:rsidP="00053739">
            <w:pPr>
              <w:pStyle w:val="elencopuntatosimboli"/>
              <w:numPr>
                <w:ilvl w:val="0"/>
                <w:numId w:val="0"/>
              </w:numPr>
              <w:ind w:left="720"/>
            </w:pPr>
            <w:r w:rsidRPr="00403F07">
              <w:t>The issue being addressed has trans-national aspects that cannot be satisfactorily regulated by MS and/or local and regional authorities acting alone</w:t>
            </w:r>
            <w:r>
              <w:t>.</w:t>
            </w:r>
            <w:r w:rsidRPr="00403F07">
              <w:t xml:space="preserve"> </w:t>
            </w:r>
          </w:p>
          <w:p w:rsidR="00854E9D" w:rsidRPr="00BF002C" w:rsidRDefault="00854E9D" w:rsidP="00053739">
            <w:pPr>
              <w:pStyle w:val="elencopuntatosimboli"/>
              <w:rPr>
                <w:b/>
                <w:bCs/>
              </w:rPr>
            </w:pPr>
            <w:r w:rsidRPr="00403F07">
              <w:rPr>
                <w:b/>
                <w:bCs/>
              </w:rPr>
              <w:t>(and/or) Conflict of Member States</w:t>
            </w:r>
            <w:r w:rsidRPr="00C6046D">
              <w:rPr>
                <w:b/>
                <w:bCs/>
              </w:rPr>
              <w:t>’</w:t>
            </w:r>
            <w:r w:rsidRPr="00403F07">
              <w:rPr>
                <w:b/>
                <w:bCs/>
              </w:rPr>
              <w:t xml:space="preserve"> interests</w:t>
            </w:r>
          </w:p>
          <w:p w:rsidR="00854E9D" w:rsidRPr="00BF002C" w:rsidRDefault="00854E9D" w:rsidP="00053739">
            <w:pPr>
              <w:pStyle w:val="elencopuntatosimboli"/>
              <w:numPr>
                <w:ilvl w:val="0"/>
                <w:numId w:val="0"/>
              </w:numPr>
              <w:ind w:left="720"/>
            </w:pPr>
            <w:r w:rsidRPr="00403F07">
              <w:t>Action taken by MS alone or lack of action at EU level would conflict with the requirements of the Treaties or otherwise significantly damage other Member States' interests</w:t>
            </w:r>
            <w:r>
              <w:t>.</w:t>
            </w:r>
            <w:r w:rsidRPr="00403F07">
              <w:t xml:space="preserve"> </w:t>
            </w:r>
          </w:p>
          <w:p w:rsidR="00854E9D" w:rsidRPr="00BF002C" w:rsidRDefault="00854E9D" w:rsidP="00053739">
            <w:pPr>
              <w:pStyle w:val="elencopuntatosimboli"/>
              <w:rPr>
                <w:b/>
                <w:bCs/>
              </w:rPr>
            </w:pPr>
            <w:r w:rsidRPr="00403F07">
              <w:rPr>
                <w:b/>
                <w:bCs/>
              </w:rPr>
              <w:t>(and/or) Insufficiency of existing EU measures</w:t>
            </w:r>
          </w:p>
          <w:p w:rsidR="00854E9D" w:rsidRPr="00BF002C" w:rsidRDefault="00854E9D" w:rsidP="00053739">
            <w:pPr>
              <w:pStyle w:val="elencopuntatosimboli"/>
              <w:numPr>
                <w:ilvl w:val="0"/>
                <w:numId w:val="0"/>
              </w:numPr>
              <w:ind w:left="720"/>
            </w:pPr>
            <w:r w:rsidRPr="00403F07">
              <w:t>Existing EU measures and/or targeted assistance provided in this framework are not sufficient to achieve the intended objective(s)</w:t>
            </w:r>
            <w:r>
              <w:t>.</w:t>
            </w:r>
          </w:p>
          <w:p w:rsidR="00854E9D" w:rsidRPr="00BF002C" w:rsidRDefault="00854E9D" w:rsidP="00053739">
            <w:pPr>
              <w:ind w:left="1080"/>
              <w:outlineLvl w:val="2"/>
            </w:pPr>
          </w:p>
          <w:p w:rsidR="00854E9D" w:rsidRDefault="00854E9D" w:rsidP="00053739">
            <w:r>
              <w:t xml:space="preserve">Once it is established that action at EU level is necessary, the next check is whether such action will generate </w:t>
            </w:r>
            <w:r>
              <w:rPr>
                <w:i/>
              </w:rPr>
              <w:t>clear benefits</w:t>
            </w:r>
            <w:r>
              <w:t xml:space="preserve">, as a result of its </w:t>
            </w:r>
            <w:r>
              <w:rPr>
                <w:b/>
              </w:rPr>
              <w:t xml:space="preserve">scale and/or effectiveness </w:t>
            </w:r>
            <w:r>
              <w:t>compared to similar action at national, regional or local levels. Some examples of such clear benefits are economies of scale, legal certainty, and homogeneity amongst MS, etc.</w:t>
            </w:r>
          </w:p>
          <w:p w:rsidR="00854E9D" w:rsidRPr="00BF002C" w:rsidRDefault="00854E9D" w:rsidP="00053739">
            <w:pPr>
              <w:ind w:left="1080"/>
              <w:outlineLvl w:val="2"/>
            </w:pPr>
          </w:p>
        </w:tc>
      </w:tr>
    </w:tbl>
    <w:p w:rsidR="00854E9D" w:rsidRPr="00E332EB" w:rsidRDefault="00854E9D" w:rsidP="00770904">
      <w:pPr>
        <w:jc w:val="right"/>
        <w:rPr>
          <w:i/>
          <w:iCs/>
        </w:rPr>
      </w:pPr>
      <w:r w:rsidRPr="00E332EB">
        <w:rPr>
          <w:i/>
          <w:iCs/>
        </w:rPr>
        <w:t>Source: t33 e</w:t>
      </w:r>
      <w:r>
        <w:rPr>
          <w:i/>
          <w:iCs/>
        </w:rPr>
        <w:t>xpl</w:t>
      </w:r>
      <w:r w:rsidRPr="00E332EB">
        <w:rPr>
          <w:i/>
          <w:iCs/>
        </w:rPr>
        <w:t>a</w:t>
      </w:r>
      <w:r>
        <w:rPr>
          <w:i/>
          <w:iCs/>
        </w:rPr>
        <w:t>na</w:t>
      </w:r>
      <w:r w:rsidRPr="00E332EB">
        <w:rPr>
          <w:i/>
          <w:iCs/>
        </w:rPr>
        <w:t>tion on CoR’s S&amp;P grid</w:t>
      </w:r>
    </w:p>
    <w:p w:rsidR="00854E9D" w:rsidRPr="00BF002C" w:rsidRDefault="00854E9D" w:rsidP="00770904"/>
    <w:p w:rsidR="00854E9D" w:rsidRPr="00306DCD" w:rsidRDefault="00854E9D" w:rsidP="00770904">
      <w:pPr>
        <w:pStyle w:val="Heading2"/>
        <w:rPr>
          <w:smallCaps/>
        </w:rPr>
      </w:pPr>
      <w:bookmarkStart w:id="17" w:name="_Toc189650456"/>
      <w:r w:rsidRPr="00FE44B0">
        <w:t>4.</w:t>
      </w:r>
      <w:r>
        <w:t>3</w:t>
      </w:r>
      <w:r w:rsidRPr="00FE44B0">
        <w:t xml:space="preserve"> </w:t>
      </w:r>
      <w:bookmarkStart w:id="18" w:name="_Ref311388280"/>
      <w:r>
        <w:t xml:space="preserve">  </w:t>
      </w:r>
      <w:r w:rsidRPr="00FE44B0">
        <w:t>Subsidiarity issues</w:t>
      </w:r>
      <w:bookmarkEnd w:id="17"/>
      <w:bookmarkEnd w:id="18"/>
    </w:p>
    <w:p w:rsidR="00854E9D" w:rsidRPr="00306DCD" w:rsidRDefault="00854E9D" w:rsidP="00770904">
      <w:pPr>
        <w:rPr>
          <w:b/>
          <w:bCs/>
          <w:color w:val="000000"/>
          <w:sz w:val="36"/>
          <w:szCs w:val="36"/>
        </w:rPr>
      </w:pPr>
    </w:p>
    <w:p w:rsidR="00854E9D" w:rsidRDefault="00854E9D" w:rsidP="00770904">
      <w:r>
        <w:t>The need for EU action on these issues is questionable or may not even exist. The issues explored only cover whether EU action is recommended and if the action is deemed to be necessary. The extent of such action is discussed further in the next section regarding proportionality. Where no action is required, the issue is not considered any further.</w:t>
      </w:r>
    </w:p>
    <w:p w:rsidR="00854E9D" w:rsidRDefault="00854E9D" w:rsidP="00770904">
      <w:pPr>
        <w:pStyle w:val="Subheading2"/>
        <w:rPr>
          <w:lang w:val="en-GB"/>
        </w:rPr>
      </w:pPr>
    </w:p>
    <w:p w:rsidR="00854E9D" w:rsidRDefault="00854E9D" w:rsidP="00770904">
      <w:pPr>
        <w:pStyle w:val="Subheading2"/>
        <w:rPr>
          <w:lang w:val="en-GB"/>
        </w:rPr>
      </w:pPr>
    </w:p>
    <w:p w:rsidR="00854E9D" w:rsidRDefault="00854E9D" w:rsidP="00770904">
      <w:pPr>
        <w:pStyle w:val="Subheading2"/>
        <w:rPr>
          <w:lang w:val="en-GB"/>
        </w:rPr>
      </w:pPr>
    </w:p>
    <w:p w:rsidR="00854E9D" w:rsidRPr="00A822DC" w:rsidRDefault="00854E9D" w:rsidP="00770904">
      <w:pPr>
        <w:pStyle w:val="Subheading2"/>
        <w:rPr>
          <w:lang w:val="en-GB"/>
        </w:rPr>
      </w:pPr>
      <w:r w:rsidRPr="00E53E51">
        <w:rPr>
          <w:bCs w:val="0"/>
          <w:lang w:val="en-US"/>
        </w:rPr>
        <w:t>A) Horizontal objectives of procurement</w:t>
      </w:r>
    </w:p>
    <w:p w:rsidR="00854E9D" w:rsidRDefault="00854E9D" w:rsidP="00770904">
      <w:r w:rsidRPr="00E332EB">
        <w:t xml:space="preserve">PP, due to its size (19% of EU GDP in 2009) and strategic importance, can serve to </w:t>
      </w:r>
      <w:r>
        <w:t>further</w:t>
      </w:r>
      <w:r w:rsidRPr="00E332EB">
        <w:t xml:space="preserve"> the achievement of</w:t>
      </w:r>
      <w:r>
        <w:t xml:space="preserve"> the</w:t>
      </w:r>
      <w:r w:rsidRPr="00E332EB">
        <w:t xml:space="preserve"> Europe 2020 goals. </w:t>
      </w:r>
      <w:r>
        <w:t>An</w:t>
      </w:r>
      <w:r w:rsidRPr="00E332EB">
        <w:t>y public purchase</w:t>
      </w:r>
      <w:r>
        <w:t>r</w:t>
      </w:r>
      <w:r w:rsidRPr="00E332EB">
        <w:t xml:space="preserve">, besides its obvious functional objective, may also choose to pursue other </w:t>
      </w:r>
      <w:r>
        <w:t>‘horizontal’ objectives such as</w:t>
      </w:r>
      <w:r w:rsidRPr="00E332EB">
        <w:t xml:space="preserve"> fostering innovation, respecting the environment and fighting climate change, reducing energy consumption, improving employment, public health and social conditions, and promoting equality while i</w:t>
      </w:r>
      <w:r>
        <w:t>ncreasin</w:t>
      </w:r>
      <w:r w:rsidRPr="00E332EB">
        <w:t xml:space="preserve">g inclusion of disadvantaged </w:t>
      </w:r>
      <w:r>
        <w:t>groups of people</w:t>
      </w:r>
      <w:r>
        <w:rPr>
          <w:rStyle w:val="FootnoteReference"/>
        </w:rPr>
        <w:footnoteReference w:id="33"/>
      </w:r>
      <w:r w:rsidRPr="00E332EB">
        <w:t>.</w:t>
      </w:r>
      <w:r>
        <w:t xml:space="preserve"> </w:t>
      </w:r>
    </w:p>
    <w:p w:rsidR="00854E9D" w:rsidRPr="00E332EB" w:rsidRDefault="00854E9D" w:rsidP="00770904">
      <w:pPr>
        <w:pStyle w:val="ListParagraph"/>
        <w:numPr>
          <w:ilvl w:val="0"/>
          <w:numId w:val="13"/>
        </w:numPr>
      </w:pPr>
      <w:r w:rsidRPr="00403F07">
        <w:rPr>
          <w:b/>
          <w:bCs/>
        </w:rPr>
        <w:t>Necessity of action:</w:t>
      </w:r>
      <w:r w:rsidRPr="00403F07">
        <w:t xml:space="preserve"> The necessity of </w:t>
      </w:r>
      <w:r>
        <w:t xml:space="preserve">the </w:t>
      </w:r>
      <w:r w:rsidRPr="00403F07">
        <w:t xml:space="preserve">action here is </w:t>
      </w:r>
      <w:r w:rsidRPr="00CA5FC5">
        <w:t>debatable</w:t>
      </w:r>
      <w:r w:rsidRPr="00403F07">
        <w:t xml:space="preserve">. </w:t>
      </w:r>
      <w:r>
        <w:t>The l</w:t>
      </w:r>
      <w:r w:rsidRPr="00403F07">
        <w:t xml:space="preserve">egal </w:t>
      </w:r>
      <w:r>
        <w:t>opinion</w:t>
      </w:r>
      <w:r w:rsidRPr="00403F07">
        <w:t xml:space="preserve"> on the issue is that it is the competence of the MS to decide </w:t>
      </w:r>
      <w:r w:rsidRPr="00C6046D">
        <w:t>‘</w:t>
      </w:r>
      <w:r w:rsidRPr="00403F07">
        <w:t>what to buy</w:t>
      </w:r>
      <w:r w:rsidRPr="00C6046D">
        <w:t>’</w:t>
      </w:r>
      <w:r w:rsidRPr="00403F07">
        <w:t xml:space="preserve"> and </w:t>
      </w:r>
      <w:r>
        <w:t xml:space="preserve">the </w:t>
      </w:r>
      <w:r w:rsidRPr="00403F07">
        <w:t xml:space="preserve">EU must </w:t>
      </w:r>
      <w:r>
        <w:t>only</w:t>
      </w:r>
      <w:r w:rsidRPr="00403F07">
        <w:t xml:space="preserve"> ensure common procedural standards by regulating </w:t>
      </w:r>
      <w:r w:rsidRPr="00C6046D">
        <w:t>‘</w:t>
      </w:r>
      <w:r w:rsidRPr="00403F07">
        <w:t>how to buy</w:t>
      </w:r>
      <w:r w:rsidRPr="00C6046D">
        <w:t>’</w:t>
      </w:r>
      <w:r w:rsidRPr="00403F07">
        <w:t xml:space="preserve">. </w:t>
      </w:r>
      <w:r>
        <w:t>L</w:t>
      </w:r>
      <w:r w:rsidRPr="00403F07">
        <w:t xml:space="preserve">ogically, it is usually </w:t>
      </w:r>
      <w:r w:rsidRPr="009F70D3">
        <w:t>the CAs making the purchase that is in the best position to decide how much sustainability should be taken into account on a case-by-case basis. However, EU action is justified to some extent by the fact that there is a need for some legal definitions from the Commission, on</w:t>
      </w:r>
      <w:r w:rsidRPr="00403F07">
        <w:t xml:space="preserve"> the basis of which LRAs and national authorities could securely develop their procurement policies, </w:t>
      </w:r>
      <w:r>
        <w:t>also taking account of</w:t>
      </w:r>
      <w:r w:rsidRPr="00403F07">
        <w:t xml:space="preserve"> the</w:t>
      </w:r>
      <w:r>
        <w:t>ir</w:t>
      </w:r>
      <w:r w:rsidRPr="00403F07">
        <w:t xml:space="preserve"> horizontal objectives.</w:t>
      </w:r>
      <w:r>
        <w:t xml:space="preserve"> Even if the action is partially justified, the Commission imposes the adoption of “horizontal objectives” only if linked to the “subject matter of the contract”. This is not opportune (see Chapter 4.5 on proportionality)</w:t>
      </w:r>
    </w:p>
    <w:p w:rsidR="00854E9D" w:rsidRPr="009B6A8A" w:rsidRDefault="00854E9D" w:rsidP="00770904">
      <w:pPr>
        <w:pStyle w:val="ListParagraph"/>
        <w:numPr>
          <w:ilvl w:val="0"/>
          <w:numId w:val="13"/>
        </w:numPr>
      </w:pPr>
      <w:r w:rsidRPr="00403F07">
        <w:rPr>
          <w:b/>
          <w:bCs/>
        </w:rPr>
        <w:t>Clear benefit:</w:t>
      </w:r>
      <w:r w:rsidRPr="00403F07">
        <w:t xml:space="preserve"> </w:t>
      </w:r>
      <w:r w:rsidRPr="00E53E51">
        <w:rPr>
          <w:iCs/>
        </w:rPr>
        <w:t>Legal certainty.</w:t>
      </w:r>
    </w:p>
    <w:p w:rsidR="00854E9D" w:rsidRDefault="00854E9D" w:rsidP="00770904">
      <w:pPr>
        <w:pStyle w:val="ListParagraph"/>
      </w:pPr>
    </w:p>
    <w:p w:rsidR="00854E9D" w:rsidRPr="00E332EB" w:rsidRDefault="00854E9D" w:rsidP="00770904">
      <w:r>
        <w:rPr>
          <w:i/>
          <w:iCs/>
        </w:rPr>
        <w:t>Supporting evidence and</w:t>
      </w:r>
      <w:r w:rsidRPr="0095532B">
        <w:rPr>
          <w:i/>
          <w:iCs/>
        </w:rPr>
        <w:t xml:space="preserve"> justification</w:t>
      </w:r>
      <w:r w:rsidRPr="00403F07">
        <w:rPr>
          <w:i/>
          <w:iCs/>
        </w:rPr>
        <w:t>:</w:t>
      </w:r>
      <w:r w:rsidRPr="00403F07">
        <w:t xml:space="preserve"> The legal basis for EU action in the field of procurement </w:t>
      </w:r>
      <w:r>
        <w:t>stems</w:t>
      </w:r>
      <w:r w:rsidRPr="00403F07">
        <w:t xml:space="preserve"> from its competence to ensure smooth functioning of the internal market. This can be </w:t>
      </w:r>
      <w:r>
        <w:t>done</w:t>
      </w:r>
      <w:r w:rsidRPr="00403F07">
        <w:t xml:space="preserve"> by regulating the procedural requirements. It is true that sustainable development is recogni</w:t>
      </w:r>
      <w:r>
        <w:t>s</w:t>
      </w:r>
      <w:r w:rsidRPr="00403F07">
        <w:t xml:space="preserve">ed in </w:t>
      </w:r>
      <w:r w:rsidRPr="00BB77C2">
        <w:t xml:space="preserve">Article 3(3) of the Treaty on European </w:t>
      </w:r>
      <w:r>
        <w:t>Union as one of the EU’s guiding principles</w:t>
      </w:r>
      <w:r w:rsidRPr="00403F07">
        <w:t xml:space="preserve">. Moreover, </w:t>
      </w:r>
      <w:r w:rsidRPr="00BB77C2">
        <w:rPr>
          <w:iCs/>
        </w:rPr>
        <w:t>Article 11 of the Treaty</w:t>
      </w:r>
      <w:r w:rsidRPr="00BB77C2">
        <w:rPr>
          <w:bCs/>
        </w:rPr>
        <w:t xml:space="preserve"> on the Functioning of the European Union</w:t>
      </w:r>
      <w:r>
        <w:rPr>
          <w:i/>
          <w:iCs/>
        </w:rPr>
        <w:t xml:space="preserve"> </w:t>
      </w:r>
      <w:r w:rsidRPr="00403F07">
        <w:t xml:space="preserve">requires that environmental issues be </w:t>
      </w:r>
      <w:r w:rsidRPr="00C6046D">
        <w:t>‘</w:t>
      </w:r>
      <w:r w:rsidRPr="00403F07">
        <w:t>integrated</w:t>
      </w:r>
      <w:r w:rsidRPr="00C6046D">
        <w:t>’</w:t>
      </w:r>
      <w:r w:rsidRPr="00403F07">
        <w:t xml:space="preserve"> into the implementation of Union policies and activities. </w:t>
      </w:r>
      <w:r>
        <w:t>However</w:t>
      </w:r>
      <w:r w:rsidRPr="00403F07">
        <w:t xml:space="preserve">, it </w:t>
      </w:r>
      <w:r>
        <w:t>should</w:t>
      </w:r>
      <w:r w:rsidRPr="00403F07">
        <w:t xml:space="preserve"> be noted that Article 11 does not have specific addressees but </w:t>
      </w:r>
      <w:r>
        <w:t>simply</w:t>
      </w:r>
      <w:r w:rsidRPr="00403F07">
        <w:t xml:space="preserve"> refers to EU policies and activities. </w:t>
      </w:r>
      <w:r>
        <w:t>In the absence of any limitation and given that integration has to take place both during the definition of the policies and during their implementation, it seems logical that both the EU and MS should be targeted</w:t>
      </w:r>
      <w:r w:rsidRPr="00403F07">
        <w:t xml:space="preserve">. </w:t>
      </w:r>
      <w:r>
        <w:t>In strictly legal terms, therefore, EU competence is largely limited to regulating ‘how to buy’ and not ‘what to buy’</w:t>
      </w:r>
      <w:r>
        <w:rPr>
          <w:rStyle w:val="FootnoteReference"/>
        </w:rPr>
        <w:footnoteReference w:id="34"/>
      </w:r>
      <w:r w:rsidRPr="00403F07">
        <w:t>. Moreover, the CJ</w:t>
      </w:r>
      <w:r>
        <w:t>EU</w:t>
      </w:r>
      <w:r w:rsidRPr="00E332EB">
        <w:t xml:space="preserve"> has repeatedly emphasised the </w:t>
      </w:r>
      <w:r>
        <w:t>CA</w:t>
      </w:r>
      <w:r w:rsidRPr="00E332EB">
        <w:t xml:space="preserve">s’ discretion to use procurement in </w:t>
      </w:r>
      <w:r>
        <w:t>pursuit</w:t>
      </w:r>
      <w:r w:rsidRPr="00E332EB">
        <w:t xml:space="preserve"> of horizontal policies – in </w:t>
      </w:r>
      <w:r w:rsidRPr="00E332EB">
        <w:rPr>
          <w:i/>
          <w:iCs/>
        </w:rPr>
        <w:t>Beentjes</w:t>
      </w:r>
      <w:r w:rsidRPr="00E332EB">
        <w:rPr>
          <w:rStyle w:val="FootnoteReference"/>
          <w:i/>
          <w:iCs/>
        </w:rPr>
        <w:footnoteReference w:id="35"/>
      </w:r>
      <w:r w:rsidRPr="00E332EB">
        <w:t xml:space="preserve"> (recognition of social objectives), </w:t>
      </w:r>
      <w:r w:rsidRPr="00E332EB">
        <w:rPr>
          <w:i/>
          <w:iCs/>
        </w:rPr>
        <w:t>Concordia Bus</w:t>
      </w:r>
      <w:bookmarkStart w:id="19" w:name="_Ref311222355"/>
      <w:r>
        <w:rPr>
          <w:rStyle w:val="FootnoteReference"/>
          <w:i/>
          <w:iCs/>
        </w:rPr>
        <w:footnoteReference w:id="36"/>
      </w:r>
      <w:bookmarkEnd w:id="19"/>
      <w:r w:rsidRPr="00403F07">
        <w:t xml:space="preserve"> (recognition of environmental policies) and </w:t>
      </w:r>
      <w:r w:rsidRPr="00403F07">
        <w:rPr>
          <w:i/>
          <w:iCs/>
        </w:rPr>
        <w:t>Wienstrom</w:t>
      </w:r>
      <w:bookmarkStart w:id="20" w:name="_Ref311222430"/>
      <w:r>
        <w:rPr>
          <w:rStyle w:val="FootnoteReference"/>
          <w:i/>
          <w:iCs/>
        </w:rPr>
        <w:footnoteReference w:id="37"/>
      </w:r>
      <w:bookmarkEnd w:id="20"/>
      <w:r w:rsidRPr="00403F07">
        <w:t xml:space="preserve"> (recognition of horizontal criteria relating to production characteristics).</w:t>
      </w:r>
    </w:p>
    <w:p w:rsidR="00854E9D" w:rsidRDefault="00854E9D" w:rsidP="00770904">
      <w:pPr>
        <w:pStyle w:val="Subheading2"/>
        <w:rPr>
          <w:lang w:val="en-GB"/>
        </w:rPr>
      </w:pPr>
    </w:p>
    <w:p w:rsidR="00854E9D" w:rsidRPr="00BB77C2" w:rsidRDefault="00854E9D" w:rsidP="00770904">
      <w:pPr>
        <w:pStyle w:val="Subheading2"/>
        <w:rPr>
          <w:lang w:val="en-GB"/>
        </w:rPr>
      </w:pPr>
      <w:r w:rsidRPr="00E53E51">
        <w:rPr>
          <w:bCs w:val="0"/>
          <w:lang w:val="en-US"/>
        </w:rPr>
        <w:t>B) Service concessions</w:t>
      </w:r>
    </w:p>
    <w:p w:rsidR="00854E9D" w:rsidRPr="00E332EB" w:rsidRDefault="00854E9D" w:rsidP="00770904">
      <w:r w:rsidRPr="00403F07">
        <w:t>Service concessions are current</w:t>
      </w:r>
      <w:r>
        <w:t>ly exempt from the procurement d</w:t>
      </w:r>
      <w:r w:rsidRPr="00403F07">
        <w:t xml:space="preserve">irectives. </w:t>
      </w:r>
      <w:r>
        <w:t>However, t</w:t>
      </w:r>
      <w:r w:rsidRPr="00A43FD4">
        <w:t>he Commission</w:t>
      </w:r>
      <w:r>
        <w:t xml:space="preserve"> has</w:t>
      </w:r>
      <w:r w:rsidRPr="00A43FD4">
        <w:t xml:space="preserve"> </w:t>
      </w:r>
      <w:r>
        <w:t xml:space="preserve">also taken action on the issue by a separate directive, </w:t>
      </w:r>
      <w:r w:rsidRPr="00A43FD4">
        <w:t>i</w:t>
      </w:r>
      <w:r>
        <w:t>ncluding</w:t>
      </w:r>
      <w:r w:rsidRPr="00403F07">
        <w:t xml:space="preserve"> these contracts under the procedural requirements.</w:t>
      </w:r>
    </w:p>
    <w:p w:rsidR="00854E9D" w:rsidRDefault="00854E9D" w:rsidP="00770904">
      <w:pPr>
        <w:pStyle w:val="ListParagraph"/>
        <w:numPr>
          <w:ilvl w:val="0"/>
          <w:numId w:val="15"/>
        </w:numPr>
      </w:pPr>
      <w:r w:rsidRPr="00403F07">
        <w:rPr>
          <w:b/>
          <w:bCs/>
        </w:rPr>
        <w:t>Necessity of action:</w:t>
      </w:r>
      <w:r w:rsidRPr="00403F07">
        <w:t xml:space="preserve"> EU level action in this field is very </w:t>
      </w:r>
      <w:r w:rsidRPr="00403F07">
        <w:rPr>
          <w:i/>
          <w:iCs/>
        </w:rPr>
        <w:t>debatable</w:t>
      </w:r>
      <w:r w:rsidRPr="00403F07">
        <w:t>. The EC</w:t>
      </w:r>
      <w:r w:rsidRPr="00C6046D">
        <w:t>’</w:t>
      </w:r>
      <w:r w:rsidRPr="00403F07">
        <w:t>s justification is to further open up the market and to</w:t>
      </w:r>
      <w:r>
        <w:t xml:space="preserve"> ensure more homogeneity amongst </w:t>
      </w:r>
      <w:r w:rsidRPr="00403F07">
        <w:t>MS</w:t>
      </w:r>
      <w:r>
        <w:t>s</w:t>
      </w:r>
      <w:r w:rsidRPr="00403F07">
        <w:t xml:space="preserve">. </w:t>
      </w:r>
      <w:r>
        <w:t>However, a large proportion of stakeholders are convinced that the current procedures, along with various examples of case=law, are sufficient and that no further action is called for.</w:t>
      </w:r>
    </w:p>
    <w:p w:rsidR="00854E9D" w:rsidRPr="00BB77C2" w:rsidRDefault="00854E9D" w:rsidP="00770904">
      <w:pPr>
        <w:pStyle w:val="ListParagraph"/>
        <w:numPr>
          <w:ilvl w:val="0"/>
          <w:numId w:val="15"/>
        </w:numPr>
        <w:rPr>
          <w:b/>
          <w:bCs/>
        </w:rPr>
      </w:pPr>
      <w:r w:rsidRPr="00BB77C2">
        <w:rPr>
          <w:b/>
          <w:bCs/>
        </w:rPr>
        <w:t>Clear benefit:</w:t>
      </w:r>
      <w:r w:rsidRPr="00BB77C2">
        <w:t xml:space="preserve"> Homogeneity </w:t>
      </w:r>
      <w:r>
        <w:t xml:space="preserve">amongst </w:t>
      </w:r>
      <w:r w:rsidRPr="00BB77C2">
        <w:t>MS</w:t>
      </w:r>
      <w:r>
        <w:t>s; Legal certainty.</w:t>
      </w:r>
    </w:p>
    <w:p w:rsidR="00854E9D" w:rsidRPr="00BB77C2" w:rsidRDefault="00854E9D" w:rsidP="00770904">
      <w:pPr>
        <w:pStyle w:val="ListParagraph"/>
        <w:rPr>
          <w:b/>
          <w:bCs/>
        </w:rPr>
      </w:pPr>
    </w:p>
    <w:p w:rsidR="00854E9D" w:rsidRPr="00E332EB" w:rsidRDefault="00854E9D" w:rsidP="00770904">
      <w:r w:rsidRPr="00BB77C2">
        <w:rPr>
          <w:i/>
        </w:rPr>
        <w:t>Supporting evidence and justification</w:t>
      </w:r>
      <w:r w:rsidRPr="00403F07">
        <w:rPr>
          <w:i/>
          <w:iCs/>
        </w:rPr>
        <w:t>:</w:t>
      </w:r>
      <w:r w:rsidRPr="00403F07">
        <w:t xml:space="preserve"> The European Parliament, as stated in the Rühle report</w:t>
      </w:r>
      <w:r>
        <w:rPr>
          <w:rStyle w:val="FootnoteReference"/>
        </w:rPr>
        <w:footnoteReference w:id="38"/>
      </w:r>
      <w:r w:rsidRPr="00403F07">
        <w:t xml:space="preserve">, believes that with the 2004 </w:t>
      </w:r>
      <w:r>
        <w:t>d</w:t>
      </w:r>
      <w:r w:rsidRPr="00403F07">
        <w:t>irectives and the supplementary case-law of the CJEU</w:t>
      </w:r>
      <w:r>
        <w:t>,</w:t>
      </w:r>
      <w:r w:rsidRPr="00403F07">
        <w:t xml:space="preserve"> the process of defining the term 'service concession' and establishing the legal framework governing such concessions </w:t>
      </w:r>
      <w:r>
        <w:t>is complete</w:t>
      </w:r>
      <w:r w:rsidRPr="00403F07">
        <w:t xml:space="preserve">. It </w:t>
      </w:r>
      <w:r>
        <w:t>also</w:t>
      </w:r>
      <w:r w:rsidRPr="00403F07">
        <w:t xml:space="preserve"> goes on to question </w:t>
      </w:r>
      <w:r>
        <w:t>the</w:t>
      </w:r>
      <w:r w:rsidRPr="00403F07">
        <w:t xml:space="preserve"> added value of action at EU level</w:t>
      </w:r>
      <w:r>
        <w:t>,</w:t>
      </w:r>
      <w:r w:rsidRPr="00403F07">
        <w:t xml:space="preserve"> stating that</w:t>
      </w:r>
      <w:r w:rsidRPr="00403F07">
        <w:rPr>
          <w:i/>
          <w:iCs/>
        </w:rPr>
        <w:t xml:space="preserve"> </w:t>
      </w:r>
      <w:r w:rsidRPr="00C6046D">
        <w:rPr>
          <w:i/>
          <w:iCs/>
        </w:rPr>
        <w:t>‘</w:t>
      </w:r>
      <w:r w:rsidRPr="00403F07">
        <w:rPr>
          <w:i/>
          <w:iCs/>
        </w:rPr>
        <w:t>service concessions were exc</w:t>
      </w:r>
      <w:r>
        <w:rPr>
          <w:i/>
          <w:iCs/>
        </w:rPr>
        <w:t>luded from the scope of the PP d</w:t>
      </w:r>
      <w:r w:rsidRPr="00403F07">
        <w:rPr>
          <w:i/>
          <w:iCs/>
        </w:rPr>
        <w:t>irectives in order to offer CAs and contractors a greater degree of flexibility</w:t>
      </w:r>
      <w:r w:rsidRPr="00C6046D">
        <w:rPr>
          <w:i/>
          <w:iCs/>
        </w:rPr>
        <w:t>’</w:t>
      </w:r>
      <w:r w:rsidRPr="00403F07">
        <w:t xml:space="preserve">. It is also </w:t>
      </w:r>
      <w:r>
        <w:t>worth noting</w:t>
      </w:r>
      <w:r w:rsidRPr="00403F07">
        <w:t xml:space="preserve"> that the Commission's </w:t>
      </w:r>
      <w:r>
        <w:t>original proposal for the 2004 d</w:t>
      </w:r>
      <w:r w:rsidRPr="00403F07">
        <w:t xml:space="preserve">irectives contained provisions on public service concessions </w:t>
      </w:r>
      <w:r>
        <w:t>similar</w:t>
      </w:r>
      <w:r w:rsidRPr="00403F07">
        <w:t xml:space="preserve"> to those existing in the Works Directive for public works concessions. However, the MS in </w:t>
      </w:r>
      <w:r>
        <w:t xml:space="preserve">the </w:t>
      </w:r>
      <w:r w:rsidRPr="00403F07">
        <w:t xml:space="preserve">Council decided not to include this type of contract because of </w:t>
      </w:r>
      <w:r>
        <w:t xml:space="preserve">the </w:t>
      </w:r>
      <w:r w:rsidRPr="00CA5FC5">
        <w:t>wide divergence of national practices</w:t>
      </w:r>
      <w:r w:rsidRPr="00403F07">
        <w:t xml:space="preserve"> in </w:t>
      </w:r>
      <w:r>
        <w:t xml:space="preserve">the area </w:t>
      </w:r>
      <w:r w:rsidRPr="00403F07">
        <w:t xml:space="preserve">of public service concessions. </w:t>
      </w:r>
      <w:r>
        <w:t>The</w:t>
      </w:r>
      <w:r w:rsidRPr="00403F07">
        <w:t xml:space="preserve"> CEEP</w:t>
      </w:r>
      <w:r>
        <w:rPr>
          <w:rStyle w:val="FootnoteReference"/>
        </w:rPr>
        <w:footnoteReference w:id="39"/>
      </w:r>
      <w:r w:rsidRPr="00403F07">
        <w:t xml:space="preserve">, representing public employers in the European Social Dialogue, is </w:t>
      </w:r>
      <w:r>
        <w:t xml:space="preserve">also </w:t>
      </w:r>
      <w:r w:rsidRPr="00403F07">
        <w:t>of the opinion that the current framework combined with the case-law interpretation provides sufficient clarity.</w:t>
      </w:r>
    </w:p>
    <w:p w:rsidR="00854E9D" w:rsidRPr="00E332EB" w:rsidRDefault="00854E9D" w:rsidP="00770904">
      <w:pPr>
        <w:pStyle w:val="ListParagraph"/>
      </w:pPr>
    </w:p>
    <w:p w:rsidR="00854E9D" w:rsidRPr="00BB77C2" w:rsidRDefault="00854E9D" w:rsidP="00770904">
      <w:pPr>
        <w:pStyle w:val="Subheading2"/>
        <w:rPr>
          <w:lang w:val="en-GB"/>
        </w:rPr>
      </w:pPr>
      <w:r w:rsidRPr="00FE44B0">
        <w:rPr>
          <w:bCs w:val="0"/>
          <w:lang w:val="en-US"/>
        </w:rPr>
        <w:t xml:space="preserve">C) Specific rule to avoid gold-plating for below-threshold contracts </w:t>
      </w:r>
    </w:p>
    <w:p w:rsidR="00854E9D" w:rsidRPr="00E332EB" w:rsidRDefault="00854E9D" w:rsidP="00770904">
      <w:r w:rsidRPr="00403F07">
        <w:t>Currently, below</w:t>
      </w:r>
      <w:r>
        <w:t>-</w:t>
      </w:r>
      <w:r w:rsidRPr="00403F07">
        <w:t xml:space="preserve">threshold contracts are not regulated by the </w:t>
      </w:r>
      <w:r>
        <w:t>procurement directives and are left to</w:t>
      </w:r>
      <w:r w:rsidRPr="00403F07">
        <w:t xml:space="preserve"> MS</w:t>
      </w:r>
      <w:r w:rsidRPr="00C6046D">
        <w:t>’</w:t>
      </w:r>
      <w:r w:rsidRPr="00403F07">
        <w:t xml:space="preserve"> discreti</w:t>
      </w:r>
      <w:r>
        <w:t>on. The Commission revised</w:t>
      </w:r>
      <w:r w:rsidRPr="00403F07">
        <w:t xml:space="preserve"> the threshold limit</w:t>
      </w:r>
      <w:r>
        <w:t xml:space="preserve"> for sub-regional CAs but did not take action to safeguard LRAs from national gold plating.</w:t>
      </w:r>
    </w:p>
    <w:p w:rsidR="00854E9D" w:rsidRPr="00E332EB" w:rsidRDefault="00854E9D" w:rsidP="00770904">
      <w:pPr>
        <w:pStyle w:val="ListParagraph"/>
        <w:numPr>
          <w:ilvl w:val="0"/>
          <w:numId w:val="12"/>
        </w:numPr>
      </w:pPr>
      <w:r w:rsidRPr="00BB77C2">
        <w:rPr>
          <w:b/>
          <w:bCs/>
        </w:rPr>
        <w:t>Necessity of action:</w:t>
      </w:r>
      <w:r w:rsidRPr="00403F07">
        <w:t xml:space="preserve"> </w:t>
      </w:r>
      <w:r w:rsidRPr="00CA5FC5">
        <w:t>Trans-national aspects; Conflict of MS interests.</w:t>
      </w:r>
      <w:r>
        <w:t xml:space="preserve"> </w:t>
      </w:r>
      <w:r w:rsidRPr="00403F07">
        <w:t xml:space="preserve">There is </w:t>
      </w:r>
      <w:r>
        <w:t>wide variation in the way below-</w:t>
      </w:r>
      <w:r w:rsidRPr="00403F07">
        <w:t xml:space="preserve">threshold contracts are treated at the national level. These diverse national requirements imply that an LRA in one country </w:t>
      </w:r>
      <w:r>
        <w:t>faces</w:t>
      </w:r>
      <w:r w:rsidRPr="00403F07">
        <w:t xml:space="preserve"> considerable burdens </w:t>
      </w:r>
      <w:r>
        <w:t>with</w:t>
      </w:r>
      <w:r w:rsidRPr="00403F07">
        <w:t xml:space="preserve"> below</w:t>
      </w:r>
      <w:r>
        <w:t>-threshold contracts, while</w:t>
      </w:r>
      <w:r w:rsidRPr="00403F07">
        <w:t xml:space="preserve"> an LRA in another country faces no such burdens and is free to choose the procedures </w:t>
      </w:r>
      <w:r>
        <w:t>it wishes</w:t>
      </w:r>
      <w:r w:rsidRPr="00403F07">
        <w:t>.</w:t>
      </w:r>
    </w:p>
    <w:p w:rsidR="00854E9D" w:rsidRPr="0089357F" w:rsidRDefault="00854E9D" w:rsidP="00770904">
      <w:pPr>
        <w:pStyle w:val="ListParagraph"/>
        <w:numPr>
          <w:ilvl w:val="0"/>
          <w:numId w:val="12"/>
        </w:numPr>
      </w:pPr>
      <w:r w:rsidRPr="00403F07">
        <w:rPr>
          <w:b/>
          <w:bCs/>
        </w:rPr>
        <w:t xml:space="preserve">Clear benefit: </w:t>
      </w:r>
      <w:r w:rsidRPr="00CA5FC5">
        <w:t>Homogeneity across MS; Economies of scale.</w:t>
      </w:r>
    </w:p>
    <w:p w:rsidR="00854E9D" w:rsidRPr="00E332EB" w:rsidRDefault="00854E9D" w:rsidP="00770904">
      <w:pPr>
        <w:pStyle w:val="ListParagraph"/>
      </w:pPr>
    </w:p>
    <w:p w:rsidR="00854E9D" w:rsidRPr="00E332EB" w:rsidRDefault="00854E9D" w:rsidP="00770904">
      <w:r w:rsidRPr="00BB77C2">
        <w:rPr>
          <w:i/>
        </w:rPr>
        <w:t>Supporting evidence and justification</w:t>
      </w:r>
      <w:r w:rsidRPr="00403F07">
        <w:rPr>
          <w:i/>
          <w:iCs/>
        </w:rPr>
        <w:t>:</w:t>
      </w:r>
      <w:r w:rsidRPr="00403F07">
        <w:t xml:space="preserve"> The </w:t>
      </w:r>
      <w:r w:rsidRPr="00BB77C2">
        <w:t>Commission’s</w:t>
      </w:r>
      <w:r>
        <w:t xml:space="preserve"> Green Paper</w:t>
      </w:r>
      <w:r w:rsidRPr="00403F07">
        <w:t xml:space="preserve"> suggests the possibility of </w:t>
      </w:r>
      <w:r w:rsidRPr="00C6046D">
        <w:t>‘</w:t>
      </w:r>
      <w:r w:rsidRPr="00403F07">
        <w:t>national gold-plating</w:t>
      </w:r>
      <w:r w:rsidRPr="00C6046D">
        <w:t>’</w:t>
      </w:r>
      <w:r>
        <w:t>,</w:t>
      </w:r>
      <w:r w:rsidRPr="00403F07">
        <w:t xml:space="preserve"> </w:t>
      </w:r>
      <w:r>
        <w:t>referring to</w:t>
      </w:r>
      <w:r w:rsidRPr="00E332EB">
        <w:t xml:space="preserve"> national legislation</w:t>
      </w:r>
      <w:r>
        <w:t>s that</w:t>
      </w:r>
      <w:r w:rsidRPr="00E332EB">
        <w:t xml:space="preserve"> add on rules o</w:t>
      </w:r>
      <w:r>
        <w:t xml:space="preserve">r standards required by </w:t>
      </w:r>
      <w:r w:rsidRPr="00E332EB">
        <w:t>EU rules. Further</w:t>
      </w:r>
      <w:r>
        <w:t>more</w:t>
      </w:r>
      <w:r w:rsidRPr="00E332EB">
        <w:t>, most countries have rules for above</w:t>
      </w:r>
      <w:r>
        <w:t>-</w:t>
      </w:r>
      <w:r w:rsidRPr="00E332EB">
        <w:t>threshold procurements</w:t>
      </w:r>
      <w:r>
        <w:t>,</w:t>
      </w:r>
      <w:r w:rsidRPr="00E332EB">
        <w:t xml:space="preserve"> which also apply to below</w:t>
      </w:r>
      <w:r>
        <w:t>-</w:t>
      </w:r>
      <w:r w:rsidRPr="00E332EB">
        <w:t>threshold procurements</w:t>
      </w:r>
      <w:r>
        <w:t>,</w:t>
      </w:r>
      <w:r w:rsidRPr="00E332EB">
        <w:t xml:space="preserve"> implying equally high burdens for such contracts</w:t>
      </w:r>
      <w:r w:rsidRPr="00E332EB">
        <w:rPr>
          <w:rStyle w:val="FootnoteReference"/>
        </w:rPr>
        <w:footnoteReference w:id="40"/>
      </w:r>
      <w:r w:rsidRPr="00E332EB">
        <w:t>. In some countries</w:t>
      </w:r>
      <w:r>
        <w:t>,</w:t>
      </w:r>
      <w:r w:rsidRPr="00E332EB">
        <w:t xml:space="preserve"> </w:t>
      </w:r>
      <w:r>
        <w:t xml:space="preserve">such </w:t>
      </w:r>
      <w:r w:rsidRPr="00E332EB">
        <w:t>as Germany and Romania</w:t>
      </w:r>
      <w:r>
        <w:t>,</w:t>
      </w:r>
      <w:r w:rsidRPr="00E332EB">
        <w:t xml:space="preserve"> a </w:t>
      </w:r>
      <w:r>
        <w:t>different set of rules apply to contracts above and below the threshold</w:t>
      </w:r>
      <w:r w:rsidRPr="00E332EB">
        <w:t>. In Italy</w:t>
      </w:r>
      <w:r>
        <w:t>,</w:t>
      </w:r>
      <w:r w:rsidRPr="00E332EB">
        <w:t xml:space="preserve"> the national legislation essentially brings together all the provisions </w:t>
      </w:r>
      <w:r>
        <w:t xml:space="preserve">of </w:t>
      </w:r>
      <w:r w:rsidRPr="00E332EB">
        <w:t>governing contracts above and below the EU threshold, by applying most of its provisions to the la</w:t>
      </w:r>
      <w:r>
        <w:t>t</w:t>
      </w:r>
      <w:r w:rsidRPr="00E332EB">
        <w:t>ter, with a few limited exceptions. In other countries, such as the UK, there is no specific discipline</w:t>
      </w:r>
      <w:r>
        <w:t>,</w:t>
      </w:r>
      <w:r w:rsidRPr="00E332EB">
        <w:t xml:space="preserve"> but general EU principles of transparency and non-discrimination apply.</w:t>
      </w:r>
    </w:p>
    <w:p w:rsidR="00854E9D" w:rsidRPr="00E332EB" w:rsidRDefault="00854E9D" w:rsidP="00770904"/>
    <w:p w:rsidR="00854E9D" w:rsidRPr="00171C27" w:rsidRDefault="00854E9D" w:rsidP="00770904">
      <w:pPr>
        <w:pStyle w:val="Subheading2"/>
        <w:autoSpaceDE w:val="0"/>
        <w:autoSpaceDN w:val="0"/>
        <w:adjustRightInd w:val="0"/>
        <w:jc w:val="both"/>
        <w:rPr>
          <w:lang w:val="en-GB"/>
        </w:rPr>
      </w:pPr>
      <w:r w:rsidRPr="00171C27">
        <w:rPr>
          <w:bCs w:val="0"/>
          <w:lang w:val="en-US"/>
        </w:rPr>
        <w:t xml:space="preserve">D) Mandatory use of electronic procurement </w:t>
      </w:r>
    </w:p>
    <w:p w:rsidR="00854E9D" w:rsidRPr="00171C27" w:rsidRDefault="00854E9D" w:rsidP="00770904">
      <w:pPr>
        <w:autoSpaceDE w:val="0"/>
        <w:autoSpaceDN w:val="0"/>
        <w:adjustRightInd w:val="0"/>
        <w:rPr>
          <w:rFonts w:cs="TimesNewRoman"/>
          <w:lang w:eastAsia="zh-CN"/>
        </w:rPr>
      </w:pPr>
      <w:r w:rsidRPr="00171C27">
        <w:rPr>
          <w:lang w:eastAsia="zh-CN"/>
        </w:rPr>
        <w:t xml:space="preserve">The new proposal strongly promotes the </w:t>
      </w:r>
      <w:r w:rsidRPr="00171C27">
        <w:rPr>
          <w:rFonts w:cs="TimesNewRoman"/>
          <w:lang w:eastAsia="zh-CN"/>
        </w:rPr>
        <w:t>switchover to e-procurement providing for the mandatory:</w:t>
      </w:r>
    </w:p>
    <w:p w:rsidR="00854E9D" w:rsidRPr="00171C27" w:rsidRDefault="00854E9D" w:rsidP="00770904">
      <w:pPr>
        <w:pStyle w:val="ListParagraph"/>
        <w:numPr>
          <w:ilvl w:val="0"/>
          <w:numId w:val="22"/>
        </w:numPr>
        <w:autoSpaceDE w:val="0"/>
        <w:autoSpaceDN w:val="0"/>
        <w:adjustRightInd w:val="0"/>
        <w:rPr>
          <w:rFonts w:cs="TimesNewRoman"/>
          <w:lang w:eastAsia="zh-CN"/>
        </w:rPr>
      </w:pPr>
      <w:r w:rsidRPr="00171C27">
        <w:rPr>
          <w:rFonts w:cs="TimesNewRoman"/>
          <w:lang w:eastAsia="zh-CN"/>
        </w:rPr>
        <w:t>transmission of notices in electronic form;</w:t>
      </w:r>
    </w:p>
    <w:p w:rsidR="00854E9D" w:rsidRPr="00171C27" w:rsidRDefault="00854E9D" w:rsidP="00770904">
      <w:pPr>
        <w:pStyle w:val="ListParagraph"/>
        <w:numPr>
          <w:ilvl w:val="0"/>
          <w:numId w:val="22"/>
        </w:numPr>
        <w:autoSpaceDE w:val="0"/>
        <w:autoSpaceDN w:val="0"/>
        <w:adjustRightInd w:val="0"/>
        <w:rPr>
          <w:rFonts w:cs="TimesNewRoman"/>
          <w:lang w:eastAsia="zh-CN"/>
        </w:rPr>
      </w:pPr>
      <w:r w:rsidRPr="00171C27">
        <w:rPr>
          <w:rFonts w:cs="TimesNewRoman"/>
          <w:lang w:eastAsia="zh-CN"/>
        </w:rPr>
        <w:t>electronic availability of procurement documents;</w:t>
      </w:r>
    </w:p>
    <w:p w:rsidR="00854E9D" w:rsidRPr="00171C27" w:rsidRDefault="00854E9D" w:rsidP="00770904">
      <w:pPr>
        <w:pStyle w:val="ListParagraph"/>
        <w:numPr>
          <w:ilvl w:val="0"/>
          <w:numId w:val="22"/>
        </w:numPr>
        <w:autoSpaceDE w:val="0"/>
        <w:autoSpaceDN w:val="0"/>
        <w:adjustRightInd w:val="0"/>
        <w:rPr>
          <w:rFonts w:cs="TimesNewRoman"/>
          <w:lang w:eastAsia="zh-CN"/>
        </w:rPr>
      </w:pPr>
      <w:r w:rsidRPr="00171C27">
        <w:rPr>
          <w:rFonts w:cs="TimesNewRoman"/>
          <w:lang w:eastAsia="zh-CN"/>
        </w:rPr>
        <w:t xml:space="preserve">switching to fully electronic communication, in particular e-submission, in all procurement procedures </w:t>
      </w:r>
      <w:r>
        <w:rPr>
          <w:rFonts w:cs="TimesNewRoman"/>
          <w:lang w:eastAsia="zh-CN"/>
        </w:rPr>
        <w:t>within two years</w:t>
      </w:r>
      <w:r w:rsidRPr="00171C27">
        <w:rPr>
          <w:rFonts w:cs="TimesNewRoman"/>
          <w:lang w:eastAsia="zh-CN"/>
        </w:rPr>
        <w:t xml:space="preserve">. </w:t>
      </w:r>
    </w:p>
    <w:p w:rsidR="00854E9D" w:rsidRPr="00171C27" w:rsidRDefault="00854E9D" w:rsidP="00770904">
      <w:pPr>
        <w:pStyle w:val="ListParagraph"/>
        <w:autoSpaceDE w:val="0"/>
        <w:autoSpaceDN w:val="0"/>
        <w:adjustRightInd w:val="0"/>
        <w:rPr>
          <w:rFonts w:cs="TimesNewRoman"/>
          <w:lang w:eastAsia="zh-CN"/>
        </w:rPr>
      </w:pPr>
    </w:p>
    <w:p w:rsidR="00854E9D" w:rsidRPr="00CE7BC5" w:rsidRDefault="00854E9D" w:rsidP="00770904">
      <w:pPr>
        <w:autoSpaceDE w:val="0"/>
        <w:autoSpaceDN w:val="0"/>
        <w:adjustRightInd w:val="0"/>
        <w:rPr>
          <w:rFonts w:ascii="TimesNewRoman" w:hAnsi="TimesNewRoman"/>
          <w:lang w:eastAsia="zh-CN"/>
        </w:rPr>
      </w:pPr>
      <w:r w:rsidRPr="00171C27">
        <w:rPr>
          <w:rFonts w:cs="TimesNewRoman"/>
          <w:lang w:eastAsia="zh-CN"/>
        </w:rPr>
        <w:t>If fully electronic procurement tools are suitable for highly aggre</w:t>
      </w:r>
      <w:r>
        <w:rPr>
          <w:rFonts w:cs="TimesNewRoman"/>
          <w:lang w:eastAsia="zh-CN"/>
        </w:rPr>
        <w:t>gated procurement centres, they are not necessary for</w:t>
      </w:r>
      <w:r w:rsidRPr="00171C27">
        <w:rPr>
          <w:rFonts w:cs="TimesNewRoman"/>
          <w:lang w:eastAsia="zh-CN"/>
        </w:rPr>
        <w:t xml:space="preserve"> small </w:t>
      </w:r>
      <w:r>
        <w:rPr>
          <w:rFonts w:cs="TimesNewRoman"/>
          <w:lang w:eastAsia="zh-CN"/>
        </w:rPr>
        <w:t>CAs</w:t>
      </w:r>
      <w:r w:rsidRPr="00171C27">
        <w:rPr>
          <w:rFonts w:cs="TimesNewRoman"/>
          <w:lang w:eastAsia="zh-CN"/>
        </w:rPr>
        <w:t xml:space="preserve">. </w:t>
      </w:r>
      <w:r>
        <w:rPr>
          <w:rFonts w:ascii="TimesNewRoman" w:hAnsi="TimesNewRoman"/>
          <w:lang w:eastAsia="zh-CN"/>
        </w:rPr>
        <w:t xml:space="preserve">For most LRAs, e-procurement is more likely to produce an increased administrative workload, particularly at the initial stage. </w:t>
      </w:r>
    </w:p>
    <w:p w:rsidR="00854E9D" w:rsidRPr="00171C27" w:rsidRDefault="00854E9D" w:rsidP="00770904">
      <w:pPr>
        <w:pStyle w:val="ListParagraph"/>
        <w:numPr>
          <w:ilvl w:val="0"/>
          <w:numId w:val="23"/>
        </w:numPr>
      </w:pPr>
      <w:r w:rsidRPr="00171C27">
        <w:rPr>
          <w:b/>
          <w:bCs/>
        </w:rPr>
        <w:t>Necessity of action:</w:t>
      </w:r>
      <w:r w:rsidRPr="00171C27">
        <w:t xml:space="preserve"> is questionable as the issue could be  handled better at the national level.</w:t>
      </w:r>
    </w:p>
    <w:p w:rsidR="00854E9D" w:rsidRPr="00171C27" w:rsidRDefault="00854E9D" w:rsidP="00770904">
      <w:pPr>
        <w:pStyle w:val="ListParagraph"/>
        <w:numPr>
          <w:ilvl w:val="0"/>
          <w:numId w:val="23"/>
        </w:numPr>
      </w:pPr>
      <w:r w:rsidRPr="00171C27">
        <w:rPr>
          <w:b/>
          <w:bCs/>
        </w:rPr>
        <w:t>Clear benefit:</w:t>
      </w:r>
      <w:r w:rsidRPr="00171C27">
        <w:t xml:space="preserve"> decrease</w:t>
      </w:r>
      <w:r>
        <w:t>d</w:t>
      </w:r>
      <w:r w:rsidRPr="00171C27">
        <w:t xml:space="preserve"> administr</w:t>
      </w:r>
      <w:r>
        <w:t xml:space="preserve">ative costs will initially </w:t>
      </w:r>
      <w:r w:rsidRPr="00171C27">
        <w:t>be</w:t>
      </w:r>
      <w:r>
        <w:t xml:space="preserve"> only</w:t>
      </w:r>
      <w:r w:rsidRPr="00171C27">
        <w:t xml:space="preserve"> for some big </w:t>
      </w:r>
      <w:r>
        <w:t>CAs</w:t>
      </w:r>
      <w:r w:rsidRPr="00171C27">
        <w:t xml:space="preserve"> but for small local and regional authorities this </w:t>
      </w:r>
      <w:r>
        <w:t>will happen only in the long term</w:t>
      </w:r>
      <w:r w:rsidRPr="00171C27">
        <w:t xml:space="preserve">. There could also be simplifications for economic operators applying to tender. </w:t>
      </w:r>
    </w:p>
    <w:p w:rsidR="00854E9D" w:rsidRPr="00CB12B9" w:rsidRDefault="00854E9D" w:rsidP="00770904">
      <w:pPr>
        <w:rPr>
          <w:b/>
          <w:bCs/>
        </w:rPr>
      </w:pPr>
    </w:p>
    <w:p w:rsidR="00854E9D" w:rsidRPr="00CB12B9" w:rsidRDefault="00854E9D" w:rsidP="00770904">
      <w:pPr>
        <w:autoSpaceDE w:val="0"/>
        <w:autoSpaceDN w:val="0"/>
        <w:adjustRightInd w:val="0"/>
      </w:pPr>
      <w:r w:rsidRPr="00CB12B9">
        <w:rPr>
          <w:i/>
        </w:rPr>
        <w:t>Supporting evidence and justification</w:t>
      </w:r>
      <w:r w:rsidRPr="00CB12B9">
        <w:rPr>
          <w:i/>
          <w:iCs/>
        </w:rPr>
        <w:t>:</w:t>
      </w:r>
      <w:r w:rsidRPr="00E53E51">
        <w:t xml:space="preserve"> </w:t>
      </w:r>
      <w:r>
        <w:t>even though adopting e-procurement offers certain advantages, such as time-saving for economic operators, preventing errors and providing more reliable data</w:t>
      </w:r>
      <w:r w:rsidRPr="00E53E51">
        <w:t xml:space="preserve">, </w:t>
      </w:r>
      <w:r w:rsidRPr="00E53E51">
        <w:rPr>
          <w:rFonts w:cs="TimesNewRoman"/>
          <w:lang w:eastAsia="zh-CN"/>
        </w:rPr>
        <w:t xml:space="preserve">in the medium term small LRAs, if they do not already have the system in place, may find the time and effort </w:t>
      </w:r>
      <w:r>
        <w:rPr>
          <w:rFonts w:cs="TimesNewRoman"/>
          <w:lang w:eastAsia="zh-CN"/>
        </w:rPr>
        <w:t xml:space="preserve">required </w:t>
      </w:r>
      <w:r w:rsidRPr="00E53E51">
        <w:rPr>
          <w:rFonts w:cs="TimesNewRoman"/>
          <w:lang w:eastAsia="zh-CN"/>
        </w:rPr>
        <w:t>to ge</w:t>
      </w:r>
      <w:r>
        <w:rPr>
          <w:rFonts w:cs="TimesNewRoman"/>
          <w:lang w:eastAsia="zh-CN"/>
        </w:rPr>
        <w:t>t it up and running would cancel out</w:t>
      </w:r>
      <w:r w:rsidRPr="00E53E51">
        <w:rPr>
          <w:rFonts w:cs="TimesNewRoman"/>
          <w:lang w:eastAsia="zh-CN"/>
        </w:rPr>
        <w:t xml:space="preserve"> the savings.</w:t>
      </w:r>
    </w:p>
    <w:p w:rsidR="00854E9D" w:rsidRPr="00A94FBF" w:rsidRDefault="00854E9D" w:rsidP="00770904">
      <w:pPr>
        <w:autoSpaceDE w:val="0"/>
        <w:autoSpaceDN w:val="0"/>
        <w:adjustRightInd w:val="0"/>
        <w:rPr>
          <w:lang w:val="en-US"/>
        </w:rPr>
      </w:pPr>
    </w:p>
    <w:p w:rsidR="00854E9D" w:rsidRPr="00BB77C2" w:rsidRDefault="00854E9D" w:rsidP="00770904">
      <w:pPr>
        <w:pStyle w:val="Subheading2"/>
        <w:rPr>
          <w:lang w:val="en-GB"/>
        </w:rPr>
      </w:pPr>
      <w:r>
        <w:rPr>
          <w:bCs w:val="0"/>
          <w:lang w:val="en-US"/>
        </w:rPr>
        <w:t>E</w:t>
      </w:r>
      <w:r w:rsidRPr="00FE44B0">
        <w:rPr>
          <w:bCs w:val="0"/>
          <w:lang w:val="en-US"/>
        </w:rPr>
        <w:t xml:space="preserve">) </w:t>
      </w:r>
      <w:r w:rsidRPr="00F829E0">
        <w:rPr>
          <w:bCs w:val="0"/>
          <w:lang w:val="en-US"/>
        </w:rPr>
        <w:t>Favoritism</w:t>
      </w:r>
      <w:r w:rsidRPr="00FE44B0">
        <w:rPr>
          <w:bCs w:val="0"/>
          <w:lang w:val="en-US"/>
        </w:rPr>
        <w:t xml:space="preserve"> and corruption</w:t>
      </w:r>
    </w:p>
    <w:p w:rsidR="00854E9D" w:rsidRPr="00B30EAD" w:rsidRDefault="00854E9D" w:rsidP="00770904">
      <w:pPr>
        <w:rPr>
          <w:rFonts w:cs="TimesNewRoman"/>
          <w:lang w:eastAsia="zh-CN"/>
        </w:rPr>
      </w:pPr>
      <w:r w:rsidRPr="00B30EAD">
        <w:t>Procurement markets, and especially major works projects, are often considered a lucrative target for bribery. Currently, for subsidiarity reasons, the issue is handled at national level. T</w:t>
      </w:r>
      <w:r>
        <w:t>he proposal, however establishes</w:t>
      </w:r>
      <w:r w:rsidRPr="00B30EAD">
        <w:t xml:space="preserve"> a new authority: </w:t>
      </w:r>
      <w:r w:rsidRPr="00E53E51">
        <w:rPr>
          <w:lang w:val="en-US" w:eastAsia="zh-CN"/>
        </w:rPr>
        <w:t xml:space="preserve">national </w:t>
      </w:r>
      <w:r>
        <w:rPr>
          <w:lang w:val="en-US" w:eastAsia="zh-CN"/>
        </w:rPr>
        <w:t>supervisory</w:t>
      </w:r>
      <w:r w:rsidRPr="00E53E51">
        <w:rPr>
          <w:lang w:val="en-US" w:eastAsia="zh-CN"/>
        </w:rPr>
        <w:t xml:space="preserve"> bodies</w:t>
      </w:r>
      <w:r w:rsidRPr="00E53E51">
        <w:t xml:space="preserve"> </w:t>
      </w:r>
      <w:r>
        <w:rPr>
          <w:rFonts w:cs="TimesNewRoman"/>
          <w:lang w:val="en-US" w:eastAsia="zh-CN"/>
        </w:rPr>
        <w:t>responsible for</w:t>
      </w:r>
      <w:r w:rsidRPr="00E53E51">
        <w:rPr>
          <w:rFonts w:cs="TimesNewRoman"/>
          <w:lang w:val="en-US" w:eastAsia="zh-CN"/>
        </w:rPr>
        <w:t xml:space="preserve"> monitoring and control of public procurement. The </w:t>
      </w:r>
      <w:r>
        <w:rPr>
          <w:rFonts w:cs="TimesNewRoman"/>
          <w:lang w:val="en-US" w:eastAsia="zh-CN"/>
        </w:rPr>
        <w:t>CAs</w:t>
      </w:r>
      <w:r w:rsidRPr="00E53E51">
        <w:rPr>
          <w:rFonts w:cs="TimesNewRoman"/>
          <w:lang w:val="en-US" w:eastAsia="zh-CN"/>
        </w:rPr>
        <w:t xml:space="preserve"> will be required to transmit the contracts to the </w:t>
      </w:r>
      <w:r>
        <w:rPr>
          <w:rFonts w:cs="TimesNewRoman"/>
          <w:lang w:val="en-US" w:eastAsia="zh-CN"/>
        </w:rPr>
        <w:t>supervisory</w:t>
      </w:r>
      <w:r w:rsidRPr="00E53E51">
        <w:rPr>
          <w:rFonts w:cs="TimesNewRoman"/>
          <w:lang w:val="en-US" w:eastAsia="zh-CN"/>
        </w:rPr>
        <w:t xml:space="preserve"> b</w:t>
      </w:r>
      <w:r>
        <w:rPr>
          <w:rFonts w:cs="TimesNewRoman"/>
          <w:lang w:val="en-US" w:eastAsia="zh-CN"/>
        </w:rPr>
        <w:t xml:space="preserve">ody, which will investigate </w:t>
      </w:r>
      <w:r w:rsidRPr="00E53E51">
        <w:rPr>
          <w:rFonts w:cs="TimesNewRoman"/>
          <w:lang w:val="en-US" w:eastAsia="zh-CN"/>
        </w:rPr>
        <w:t>suspicious patterns and ensure transparency and access to documents. This will bring additional burden</w:t>
      </w:r>
      <w:r>
        <w:rPr>
          <w:rFonts w:cs="TimesNewRoman"/>
          <w:lang w:val="en-US" w:eastAsia="zh-CN"/>
        </w:rPr>
        <w:t>s</w:t>
      </w:r>
      <w:r w:rsidRPr="00E53E51">
        <w:rPr>
          <w:rFonts w:cs="TimesNewRoman"/>
          <w:lang w:val="en-US" w:eastAsia="zh-CN"/>
        </w:rPr>
        <w:t xml:space="preserve"> and costs. Furthermore</w:t>
      </w:r>
      <w:r>
        <w:rPr>
          <w:rFonts w:cs="TimesNewRoman"/>
          <w:lang w:val="en-US" w:eastAsia="zh-CN"/>
        </w:rPr>
        <w:t>,</w:t>
      </w:r>
      <w:r w:rsidRPr="00E53E51">
        <w:rPr>
          <w:rFonts w:cs="TimesNewRoman"/>
          <w:lang w:val="en-US" w:eastAsia="zh-CN"/>
        </w:rPr>
        <w:t xml:space="preserve"> it could be a serious constitutional issue in several federal countries and jeopardise the freedom of LRAs. </w:t>
      </w:r>
    </w:p>
    <w:p w:rsidR="00854E9D" w:rsidRDefault="00854E9D" w:rsidP="00770904">
      <w:pPr>
        <w:pStyle w:val="ListParagraph"/>
        <w:numPr>
          <w:ilvl w:val="0"/>
          <w:numId w:val="18"/>
        </w:numPr>
      </w:pPr>
      <w:r w:rsidRPr="00403F07">
        <w:rPr>
          <w:b/>
          <w:bCs/>
        </w:rPr>
        <w:t>Necessity of action:</w:t>
      </w:r>
      <w:r w:rsidRPr="00403F07">
        <w:t xml:space="preserve"> Action </w:t>
      </w:r>
      <w:r>
        <w:t>is not required since</w:t>
      </w:r>
      <w:r w:rsidRPr="00403F07">
        <w:t xml:space="preserve"> the issue is handled better at the national level. The EU has </w:t>
      </w:r>
      <w:r>
        <w:t xml:space="preserve">already </w:t>
      </w:r>
      <w:r w:rsidRPr="00403F07">
        <w:t>established mechanisms for ensuring maximum transparency in the field of procurement, and this automatically mitigates any possible risks of corruption or favouritism.</w:t>
      </w:r>
    </w:p>
    <w:p w:rsidR="00854E9D" w:rsidRPr="00FB52D3" w:rsidRDefault="00854E9D" w:rsidP="00770904">
      <w:pPr>
        <w:pStyle w:val="ListParagraph"/>
        <w:numPr>
          <w:ilvl w:val="0"/>
          <w:numId w:val="18"/>
        </w:numPr>
      </w:pPr>
      <w:r w:rsidRPr="00FB52D3">
        <w:rPr>
          <w:b/>
          <w:bCs/>
        </w:rPr>
        <w:t>Clear benefit:</w:t>
      </w:r>
      <w:r w:rsidRPr="00FB52D3">
        <w:t xml:space="preserve"> None</w:t>
      </w:r>
    </w:p>
    <w:p w:rsidR="00854E9D" w:rsidRPr="008D29D8" w:rsidRDefault="00854E9D" w:rsidP="00770904">
      <w:pPr>
        <w:rPr>
          <w:b/>
          <w:bCs/>
        </w:rPr>
      </w:pPr>
    </w:p>
    <w:p w:rsidR="00854E9D" w:rsidRPr="00E332EB" w:rsidRDefault="00854E9D" w:rsidP="00770904">
      <w:r w:rsidRPr="00BB77C2">
        <w:rPr>
          <w:i/>
        </w:rPr>
        <w:t>Supporting evidence and justification</w:t>
      </w:r>
      <w:r w:rsidRPr="00403F07">
        <w:rPr>
          <w:i/>
          <w:iCs/>
        </w:rPr>
        <w:t>:</w:t>
      </w:r>
      <w:r w:rsidRPr="00403F07">
        <w:t xml:space="preserve"> The procurement rules of many </w:t>
      </w:r>
      <w:r>
        <w:t>MS</w:t>
      </w:r>
      <w:r w:rsidRPr="00403F07">
        <w:t xml:space="preserve"> contain mechanisms specifically designed to prevent and combat corrup</w:t>
      </w:r>
      <w:r>
        <w:t>tion and favouritism. I</w:t>
      </w:r>
      <w:r w:rsidRPr="00403F07">
        <w:t xml:space="preserve">t should </w:t>
      </w:r>
      <w:r>
        <w:t xml:space="preserve">also </w:t>
      </w:r>
      <w:r w:rsidRPr="00403F07">
        <w:t xml:space="preserve">be </w:t>
      </w:r>
      <w:r>
        <w:t>noted</w:t>
      </w:r>
      <w:r w:rsidRPr="00403F07">
        <w:t xml:space="preserve"> that corruption is </w:t>
      </w:r>
      <w:r>
        <w:t xml:space="preserve">not only </w:t>
      </w:r>
      <w:r w:rsidRPr="00403F07">
        <w:t xml:space="preserve">a highly sensitive issue for </w:t>
      </w:r>
      <w:r>
        <w:t xml:space="preserve">MS, </w:t>
      </w:r>
      <w:r w:rsidRPr="00403F07">
        <w:t xml:space="preserve">but also that the actual problems in this field </w:t>
      </w:r>
      <w:r>
        <w:t>as well as</w:t>
      </w:r>
      <w:r w:rsidRPr="00403F07">
        <w:t xml:space="preserve"> the potential solutions depend on the</w:t>
      </w:r>
      <w:r>
        <w:t xml:space="preserve"> different</w:t>
      </w:r>
      <w:r w:rsidRPr="00403F07">
        <w:t xml:space="preserve"> </w:t>
      </w:r>
      <w:r w:rsidRPr="00C6046D">
        <w:t>–</w:t>
      </w:r>
      <w:r w:rsidRPr="00403F07">
        <w:t xml:space="preserve"> widely diverging </w:t>
      </w:r>
      <w:r w:rsidRPr="00C6046D">
        <w:t>–</w:t>
      </w:r>
      <w:r w:rsidRPr="00403F07">
        <w:t xml:space="preserve"> national administrative and business cultures.</w:t>
      </w:r>
      <w:r>
        <w:t xml:space="preserve"> Since no action is required there will be no proportionality analysis.  </w:t>
      </w:r>
    </w:p>
    <w:p w:rsidR="00854E9D" w:rsidRPr="00E332EB" w:rsidRDefault="00854E9D" w:rsidP="00770904"/>
    <w:p w:rsidR="00854E9D" w:rsidRPr="00E332EB" w:rsidRDefault="00854E9D" w:rsidP="00770904">
      <w:pPr>
        <w:pStyle w:val="Heading2"/>
      </w:pPr>
      <w:bookmarkStart w:id="21" w:name="_Toc189650457"/>
      <w:r w:rsidRPr="002F4512">
        <w:t>4.</w:t>
      </w:r>
      <w:r>
        <w:t>4</w:t>
      </w:r>
      <w:r w:rsidRPr="002F4512">
        <w:t xml:space="preserve">   Proportionality – ‘How should the EU act?</w:t>
      </w:r>
      <w:r>
        <w:rPr>
          <w:b w:val="0"/>
          <w:bCs w:val="0"/>
        </w:rPr>
        <w:t>’</w:t>
      </w:r>
      <w:bookmarkEnd w:id="21"/>
    </w:p>
    <w:p w:rsidR="00854E9D" w:rsidRPr="00E332EB" w:rsidRDefault="00854E9D" w:rsidP="00770904"/>
    <w:p w:rsidR="00854E9D" w:rsidRDefault="00854E9D" w:rsidP="00770904">
      <w:r>
        <w:t>The principle of proportionality is a safeguard against the unlimited use of legislative and administrative powers and is considered to be something of a common sense rule, according to which an administrative authority may only act where that action is required in order to achieve its objectives.</w:t>
      </w:r>
    </w:p>
    <w:p w:rsidR="00854E9D" w:rsidRPr="00BF002C" w:rsidRDefault="00854E9D" w:rsidP="00770904"/>
    <w:p w:rsidR="00854E9D" w:rsidRPr="00BF002C" w:rsidRDefault="00854E9D" w:rsidP="00770904">
      <w:r>
        <w:rPr>
          <w:iCs/>
        </w:rPr>
        <w:t>"</w:t>
      </w:r>
      <w:r w:rsidRPr="00605BAA">
        <w:rPr>
          <w:i/>
          <w:iCs/>
        </w:rPr>
        <w:t>Under the principle of proportionality, t</w:t>
      </w:r>
      <w:r w:rsidRPr="00605BAA">
        <w:rPr>
          <w:bCs/>
          <w:i/>
        </w:rPr>
        <w:t>he content and form of Union action shall not exceed what is necessary to achieve the objectives of the Treaties</w:t>
      </w:r>
      <w:r>
        <w:rPr>
          <w:bCs/>
          <w:i/>
        </w:rPr>
        <w:t>"</w:t>
      </w:r>
      <w:r w:rsidRPr="00605BAA">
        <w:rPr>
          <w:bCs/>
          <w:i/>
        </w:rPr>
        <w:t xml:space="preserve"> </w:t>
      </w:r>
      <w:r w:rsidRPr="00605BAA">
        <w:rPr>
          <w:bCs/>
        </w:rPr>
        <w:t>(Article 5</w:t>
      </w:r>
      <w:r>
        <w:rPr>
          <w:bCs/>
        </w:rPr>
        <w:t>, paragraph 4, Treaty on the European Union</w:t>
      </w:r>
      <w:r>
        <w:rPr>
          <w:bCs/>
          <w:i/>
        </w:rPr>
        <w:t>)</w:t>
      </w:r>
    </w:p>
    <w:p w:rsidR="00854E9D" w:rsidRPr="00BF002C" w:rsidRDefault="00854E9D" w:rsidP="00770904"/>
    <w:p w:rsidR="00854E9D" w:rsidRPr="00E332EB" w:rsidRDefault="00854E9D" w:rsidP="00770904">
      <w:pPr>
        <w:rPr>
          <w:b/>
          <w:bCs/>
          <w:i/>
          <w:iCs/>
        </w:rPr>
      </w:pPr>
      <w:r w:rsidRPr="00E332EB">
        <w:rPr>
          <w:b/>
          <w:bCs/>
          <w:i/>
          <w:iCs/>
        </w:rPr>
        <w:t>Box 2: Guidelines for carrying out proportionality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54E9D" w:rsidRPr="00B1589C" w:rsidTr="00053739">
        <w:tc>
          <w:tcPr>
            <w:tcW w:w="5000" w:type="pct"/>
            <w:shd w:val="clear" w:color="auto" w:fill="BFBFBF"/>
          </w:tcPr>
          <w:p w:rsidR="00854E9D" w:rsidRPr="00BF002C" w:rsidRDefault="00854E9D" w:rsidP="00053739"/>
          <w:p w:rsidR="00854E9D" w:rsidRPr="00E763BB" w:rsidRDefault="00854E9D" w:rsidP="00053739">
            <w:r w:rsidRPr="00403F07">
              <w:t xml:space="preserve">The </w:t>
            </w:r>
            <w:r w:rsidRPr="00E332EB">
              <w:t>proportionality</w:t>
            </w:r>
            <w:r w:rsidRPr="00403F07">
              <w:t xml:space="preserve"> principle implies that </w:t>
            </w:r>
            <w:r w:rsidRPr="00CA5FC5">
              <w:t xml:space="preserve">‘the means proposed by the EU must be </w:t>
            </w:r>
            <w:r w:rsidRPr="00CA5FC5">
              <w:rPr>
                <w:b/>
                <w:bCs/>
              </w:rPr>
              <w:t>appropriate</w:t>
            </w:r>
            <w:r w:rsidRPr="00CA5FC5">
              <w:t xml:space="preserve"> and </w:t>
            </w:r>
            <w:r w:rsidRPr="00CA5FC5">
              <w:rPr>
                <w:b/>
                <w:bCs/>
              </w:rPr>
              <w:t>no more than is essential</w:t>
            </w:r>
            <w:r w:rsidRPr="00CA5FC5">
              <w:t xml:space="preserve"> to </w:t>
            </w:r>
            <w:r w:rsidRPr="00CA5FC5">
              <w:rPr>
                <w:b/>
                <w:bCs/>
              </w:rPr>
              <w:t>achieve the intended objective(s)</w:t>
            </w:r>
            <w:r w:rsidRPr="00CA5FC5">
              <w:t>.’</w:t>
            </w:r>
          </w:p>
          <w:p w:rsidR="00854E9D" w:rsidRPr="00BF002C" w:rsidRDefault="00854E9D" w:rsidP="00053739">
            <w:pPr>
              <w:ind w:left="1080"/>
              <w:outlineLvl w:val="2"/>
            </w:pPr>
          </w:p>
          <w:p w:rsidR="00854E9D" w:rsidRPr="00BF002C" w:rsidRDefault="00854E9D" w:rsidP="00053739">
            <w:r>
              <w:rPr>
                <w:iCs/>
              </w:rPr>
              <w:t xml:space="preserve">The </w:t>
            </w:r>
            <w:r>
              <w:rPr>
                <w:i/>
                <w:iCs/>
              </w:rPr>
              <w:t>a</w:t>
            </w:r>
            <w:r w:rsidRPr="00403F07">
              <w:rPr>
                <w:i/>
                <w:iCs/>
              </w:rPr>
              <w:t>ppropriateness</w:t>
            </w:r>
            <w:r w:rsidRPr="00403F07">
              <w:t xml:space="preserve"> of the chosen means (or instrument) can be ascertained by examining the </w:t>
            </w:r>
            <w:r w:rsidRPr="00403F07">
              <w:rPr>
                <w:b/>
                <w:bCs/>
              </w:rPr>
              <w:t>simplicity</w:t>
            </w:r>
            <w:r w:rsidRPr="00403F07">
              <w:t xml:space="preserve"> of the proposed action. The EU should legislate only to the extent necessary. While observing the requirements of the Treaty and provided this is sufficient to achieve the intended objective(s), </w:t>
            </w:r>
            <w:r>
              <w:t>d</w:t>
            </w:r>
            <w:r w:rsidRPr="00403F07">
              <w:t xml:space="preserve">irectives should be preferred to regulations and framework </w:t>
            </w:r>
            <w:r>
              <w:t>d</w:t>
            </w:r>
            <w:r w:rsidRPr="00403F07">
              <w:t>irectives to detailed measures; non-legislative measures, such as non-binding recommendations, to legislative acts; preference should be given to encouraging cooperation between</w:t>
            </w:r>
            <w:r>
              <w:t xml:space="preserve"> MS</w:t>
            </w:r>
            <w:r w:rsidRPr="00403F07">
              <w:t xml:space="preserve">, coordinating national action or complementing and supporting such action by </w:t>
            </w:r>
            <w:r>
              <w:t xml:space="preserve">means of </w:t>
            </w:r>
            <w:r w:rsidRPr="00403F07">
              <w:t>guidelines, setting up information exchange mechanisms, etc.</w:t>
            </w:r>
          </w:p>
          <w:p w:rsidR="00854E9D" w:rsidRPr="00BF002C" w:rsidRDefault="00854E9D" w:rsidP="00053739">
            <w:pPr>
              <w:ind w:left="1080"/>
              <w:outlineLvl w:val="2"/>
            </w:pPr>
          </w:p>
          <w:p w:rsidR="00854E9D" w:rsidRPr="00BF002C" w:rsidRDefault="00854E9D" w:rsidP="00A41192">
            <w:pPr>
              <w:outlineLvl w:val="2"/>
            </w:pPr>
            <w:r w:rsidRPr="00403F07">
              <w:t xml:space="preserve">The test for </w:t>
            </w:r>
            <w:r w:rsidRPr="00CA5FC5">
              <w:t>‘no more than essential’</w:t>
            </w:r>
            <w:r w:rsidRPr="00403F07">
              <w:t xml:space="preserve"> shall be carried out by examining </w:t>
            </w:r>
            <w:r>
              <w:t>whether</w:t>
            </w:r>
            <w:r w:rsidRPr="00403F07">
              <w:t xml:space="preserve"> the proposed action leave</w:t>
            </w:r>
            <w:r>
              <w:t>s</w:t>
            </w:r>
            <w:r w:rsidRPr="00403F07">
              <w:t xml:space="preserve"> as much room </w:t>
            </w:r>
            <w:r>
              <w:t xml:space="preserve">as possible </w:t>
            </w:r>
            <w:r w:rsidRPr="00403F07">
              <w:t>for national</w:t>
            </w:r>
            <w:r>
              <w:t>,</w:t>
            </w:r>
            <w:r w:rsidRPr="00403F07">
              <w:t xml:space="preserve"> i.e. central, regional and local</w:t>
            </w:r>
            <w:r>
              <w:t>,</w:t>
            </w:r>
            <w:r w:rsidRPr="00403F07">
              <w:t xml:space="preserve"> decision</w:t>
            </w:r>
            <w:r>
              <w:t>s</w:t>
            </w:r>
            <w:r w:rsidRPr="00403F07">
              <w:t xml:space="preserve"> in order to achieve the intended objective(s).</w:t>
            </w:r>
            <w:r w:rsidRPr="00BF002C">
              <w:t xml:space="preserve"> </w:t>
            </w:r>
          </w:p>
        </w:tc>
      </w:tr>
    </w:tbl>
    <w:p w:rsidR="00854E9D" w:rsidRDefault="00854E9D" w:rsidP="00770904">
      <w:pPr>
        <w:jc w:val="right"/>
        <w:rPr>
          <w:i/>
          <w:iCs/>
        </w:rPr>
      </w:pPr>
      <w:r w:rsidRPr="00E332EB">
        <w:rPr>
          <w:i/>
          <w:iCs/>
        </w:rPr>
        <w:t xml:space="preserve">Source: t33 </w:t>
      </w:r>
      <w:r>
        <w:rPr>
          <w:i/>
          <w:iCs/>
        </w:rPr>
        <w:t>explanation</w:t>
      </w:r>
      <w:r w:rsidRPr="00E332EB">
        <w:rPr>
          <w:i/>
          <w:iCs/>
        </w:rPr>
        <w:t xml:space="preserve"> on CoR’s S&amp;P grid</w:t>
      </w:r>
    </w:p>
    <w:p w:rsidR="00854E9D" w:rsidRDefault="00854E9D" w:rsidP="00770904">
      <w:pPr>
        <w:pStyle w:val="Heading2"/>
      </w:pPr>
      <w:bookmarkStart w:id="22" w:name="_Toc189650458"/>
      <w:r w:rsidRPr="00516E63">
        <w:t xml:space="preserve">4.5  </w:t>
      </w:r>
      <w:bookmarkStart w:id="23" w:name="_Ref311388300"/>
      <w:r w:rsidRPr="00516E63">
        <w:t xml:space="preserve"> Proportionality</w:t>
      </w:r>
      <w:r w:rsidRPr="00306DCD">
        <w:t xml:space="preserve"> issues</w:t>
      </w:r>
      <w:bookmarkEnd w:id="22"/>
      <w:bookmarkEnd w:id="23"/>
    </w:p>
    <w:p w:rsidR="00854E9D" w:rsidRPr="002F4512" w:rsidRDefault="00854E9D" w:rsidP="00770904">
      <w:pPr>
        <w:pStyle w:val="Subheading1"/>
        <w:numPr>
          <w:ilvl w:val="0"/>
          <w:numId w:val="0"/>
        </w:numPr>
        <w:rPr>
          <w:bCs w:val="0"/>
          <w:smallCaps w:val="0"/>
        </w:rPr>
      </w:pPr>
    </w:p>
    <w:p w:rsidR="00854E9D" w:rsidRPr="00BF002C" w:rsidRDefault="00854E9D" w:rsidP="00770904">
      <w:r>
        <w:t>The first three</w:t>
      </w:r>
      <w:r w:rsidRPr="00403F07">
        <w:t xml:space="preserve"> </w:t>
      </w:r>
      <w:r>
        <w:t xml:space="preserve">issues continue on from </w:t>
      </w:r>
      <w:r w:rsidRPr="00403F07">
        <w:t xml:space="preserve">the previous section on subsidiarity issues </w:t>
      </w:r>
      <w:r>
        <w:t>as regards whether the action is required or debatable</w:t>
      </w:r>
      <w:r w:rsidRPr="00403F07">
        <w:t xml:space="preserve">. </w:t>
      </w:r>
      <w:r>
        <w:t xml:space="preserve">There is no specific analysis of proportionality for favouritism and corruption because the subsidiarity analysis shows there is no need for action.  </w:t>
      </w:r>
    </w:p>
    <w:p w:rsidR="00854E9D" w:rsidRPr="00BF002C" w:rsidRDefault="00854E9D" w:rsidP="00770904"/>
    <w:p w:rsidR="00854E9D" w:rsidRDefault="00854E9D" w:rsidP="00770904">
      <w:pPr>
        <w:pStyle w:val="Subheading2"/>
        <w:jc w:val="both"/>
        <w:rPr>
          <w:bCs w:val="0"/>
          <w:lang w:val="en-US"/>
        </w:rPr>
      </w:pPr>
      <w:r w:rsidRPr="00E53E51">
        <w:rPr>
          <w:bCs w:val="0"/>
          <w:lang w:val="en-US"/>
        </w:rPr>
        <w:t xml:space="preserve">A) Horizontal objectives of procurement (continued from </w:t>
      </w:r>
      <w:r w:rsidRPr="00516E63">
        <w:rPr>
          <w:bCs w:val="0"/>
          <w:lang w:val="en-US"/>
        </w:rPr>
        <w:t>4.3)</w:t>
      </w:r>
    </w:p>
    <w:p w:rsidR="00854E9D" w:rsidRDefault="00854E9D" w:rsidP="00770904">
      <w:pPr>
        <w:pStyle w:val="Subheading2"/>
        <w:jc w:val="both"/>
        <w:rPr>
          <w:lang w:val="en-GB"/>
        </w:rPr>
      </w:pPr>
    </w:p>
    <w:p w:rsidR="00854E9D" w:rsidRPr="00E332EB" w:rsidRDefault="00854E9D" w:rsidP="00770904">
      <w:r>
        <w:t xml:space="preserve">As established in the previous section, action in this field can be justified on the grounds of creating more legal certainty. As a matter of fact, the proposals allow CAs to pursue horizontal issues. This freedom is limited by the obligation for all strategic criteria to be linked to the subject matter of the contract.  </w:t>
      </w:r>
    </w:p>
    <w:p w:rsidR="00854E9D" w:rsidRDefault="00854E9D" w:rsidP="00770904">
      <w:pPr>
        <w:pStyle w:val="ListParagraph"/>
        <w:numPr>
          <w:ilvl w:val="0"/>
          <w:numId w:val="14"/>
        </w:numPr>
      </w:pPr>
      <w:r w:rsidRPr="00E332EB">
        <w:rPr>
          <w:b/>
          <w:bCs/>
        </w:rPr>
        <w:t>Appropriateness:</w:t>
      </w:r>
      <w:r w:rsidRPr="00E332EB">
        <w:t xml:space="preserve"> </w:t>
      </w:r>
      <w:r>
        <w:t>Linking the adoption of strategic criteria to the subject matter is</w:t>
      </w:r>
      <w:r w:rsidRPr="00E332EB">
        <w:t xml:space="preserve"> inappropriate and </w:t>
      </w:r>
      <w:r>
        <w:t>limits the potential positive impact of PP in the achievement of Europe 2020 targets by LRAs</w:t>
      </w:r>
      <w:r w:rsidRPr="00E332EB">
        <w:t>.</w:t>
      </w:r>
    </w:p>
    <w:p w:rsidR="00854E9D" w:rsidRPr="0066739F" w:rsidRDefault="00854E9D" w:rsidP="00770904">
      <w:pPr>
        <w:pStyle w:val="ListParagraph"/>
        <w:numPr>
          <w:ilvl w:val="0"/>
          <w:numId w:val="14"/>
        </w:numPr>
      </w:pPr>
      <w:r w:rsidRPr="0066739F">
        <w:rPr>
          <w:b/>
          <w:bCs/>
        </w:rPr>
        <w:t xml:space="preserve">Room for LRAs: </w:t>
      </w:r>
      <w:r w:rsidRPr="0066739F">
        <w:t xml:space="preserve">Deciding </w:t>
      </w:r>
      <w:r>
        <w:t>whether to</w:t>
      </w:r>
      <w:r w:rsidRPr="0066739F">
        <w:t xml:space="preserve"> </w:t>
      </w:r>
      <w:r>
        <w:t>adopt environmental, social and innovation criteria should be left to LRAs since</w:t>
      </w:r>
      <w:r w:rsidRPr="0066739F">
        <w:t xml:space="preserve"> they are in a better position to decide.</w:t>
      </w:r>
    </w:p>
    <w:p w:rsidR="00854E9D" w:rsidRPr="00E332EB" w:rsidRDefault="00854E9D" w:rsidP="00770904">
      <w:pPr>
        <w:rPr>
          <w:b/>
          <w:bCs/>
        </w:rPr>
      </w:pPr>
    </w:p>
    <w:p w:rsidR="00854E9D" w:rsidRPr="00E332EB" w:rsidRDefault="00854E9D" w:rsidP="00770904">
      <w:pPr>
        <w:autoSpaceDE w:val="0"/>
        <w:autoSpaceDN w:val="0"/>
        <w:adjustRightInd w:val="0"/>
      </w:pPr>
      <w:r w:rsidRPr="002F4512">
        <w:rPr>
          <w:i/>
        </w:rPr>
        <w:t>Recommended action</w:t>
      </w:r>
      <w:r w:rsidRPr="00403F07">
        <w:rPr>
          <w:i/>
          <w:iCs/>
        </w:rPr>
        <w:t>:</w:t>
      </w:r>
      <w:r>
        <w:rPr>
          <w:i/>
          <w:iCs/>
        </w:rPr>
        <w:t xml:space="preserve"> </w:t>
      </w:r>
      <w:r>
        <w:t xml:space="preserve">reconsider the reference to ‘subject matter’ specifically in the following articles: </w:t>
      </w:r>
      <w:r w:rsidRPr="006E788E">
        <w:t>Article</w:t>
      </w:r>
      <w:r>
        <w:t xml:space="preserve"> </w:t>
      </w:r>
      <w:r w:rsidRPr="006E788E">
        <w:t xml:space="preserve">40.4 </w:t>
      </w:r>
      <w:r>
        <w:t xml:space="preserve">- </w:t>
      </w:r>
      <w:r w:rsidRPr="006E788E">
        <w:t>Technical specifications, Article 4</w:t>
      </w:r>
      <w:r>
        <w:t>1</w:t>
      </w:r>
      <w:r w:rsidRPr="006E788E">
        <w:t xml:space="preserve"> </w:t>
      </w:r>
      <w:r>
        <w:t xml:space="preserve">- </w:t>
      </w:r>
      <w:r w:rsidRPr="006E788E">
        <w:t xml:space="preserve">Labels, </w:t>
      </w:r>
      <w:r>
        <w:t xml:space="preserve">Article 56.2 – Selection criteria, </w:t>
      </w:r>
      <w:r w:rsidRPr="006E788E">
        <w:t>Article 66</w:t>
      </w:r>
      <w:r>
        <w:t xml:space="preserve"> -</w:t>
      </w:r>
      <w:r w:rsidRPr="006E788E">
        <w:t xml:space="preserve"> Contract award criteria</w:t>
      </w:r>
      <w:r>
        <w:rPr>
          <w:i/>
          <w:iCs/>
          <w:sz w:val="24"/>
          <w:szCs w:val="24"/>
          <w:lang w:eastAsia="zh-CN"/>
        </w:rPr>
        <w:t xml:space="preserve">.  </w:t>
      </w:r>
      <w:r w:rsidRPr="006E788E">
        <w:rPr>
          <w:i/>
          <w:iCs/>
          <w:sz w:val="24"/>
          <w:szCs w:val="24"/>
          <w:lang w:eastAsia="zh-CN"/>
        </w:rPr>
        <w:t xml:space="preserve"> </w:t>
      </w:r>
      <w:r w:rsidRPr="000770A1">
        <w:rPr>
          <w:lang w:eastAsia="zh-CN"/>
        </w:rPr>
        <w:t>T</w:t>
      </w:r>
      <w:r w:rsidRPr="006E788E">
        <w:rPr>
          <w:shd w:val="clear" w:color="auto" w:fill="FFFFFF"/>
        </w:rPr>
        <w:t>he possibility o</w:t>
      </w:r>
      <w:r>
        <w:rPr>
          <w:shd w:val="clear" w:color="auto" w:fill="FFFFFF"/>
        </w:rPr>
        <w:t>f</w:t>
      </w:r>
      <w:r w:rsidRPr="006E788E">
        <w:rPr>
          <w:shd w:val="clear" w:color="auto" w:fill="FFFFFF"/>
        </w:rPr>
        <w:t xml:space="preserve"> i</w:t>
      </w:r>
      <w:r>
        <w:rPr>
          <w:shd w:val="clear" w:color="auto" w:fill="FFFFFF"/>
        </w:rPr>
        <w:t>ncluding</w:t>
      </w:r>
      <w:r w:rsidRPr="006E788E">
        <w:rPr>
          <w:shd w:val="clear" w:color="auto" w:fill="FFFFFF"/>
        </w:rPr>
        <w:t xml:space="preserve"> environmental or social criteria in the award phase</w:t>
      </w:r>
      <w:r>
        <w:rPr>
          <w:shd w:val="clear" w:color="auto" w:fill="FFFFFF"/>
        </w:rPr>
        <w:t xml:space="preserve"> </w:t>
      </w:r>
      <w:r w:rsidRPr="006E788E">
        <w:t>should be left to LRAs themselves since they acknowledge the importance of the horizontal objectives and</w:t>
      </w:r>
      <w:r>
        <w:t xml:space="preserve"> flexibility will go a long way towards</w:t>
      </w:r>
      <w:r w:rsidRPr="00403F07">
        <w:t xml:space="preserve"> </w:t>
      </w:r>
      <w:r>
        <w:t>achiev</w:t>
      </w:r>
      <w:r w:rsidRPr="00403F07">
        <w:t>ing these</w:t>
      </w:r>
      <w:r>
        <w:t xml:space="preserve"> objectives.</w:t>
      </w:r>
      <w:r w:rsidRPr="00403F07">
        <w:t xml:space="preserve"> </w:t>
      </w:r>
    </w:p>
    <w:p w:rsidR="00854E9D" w:rsidRPr="00E332EB" w:rsidRDefault="00854E9D" w:rsidP="00770904"/>
    <w:p w:rsidR="00854E9D" w:rsidRPr="002F4512" w:rsidRDefault="00854E9D" w:rsidP="00770904">
      <w:pPr>
        <w:pStyle w:val="Subheading2"/>
        <w:jc w:val="both"/>
        <w:rPr>
          <w:lang w:val="en-GB"/>
        </w:rPr>
      </w:pPr>
      <w:r w:rsidRPr="00FE44B0">
        <w:rPr>
          <w:bCs w:val="0"/>
          <w:lang w:val="en-US"/>
        </w:rPr>
        <w:t xml:space="preserve">B) Service concessions (continued </w:t>
      </w:r>
      <w:r w:rsidRPr="00617058">
        <w:rPr>
          <w:bCs w:val="0"/>
          <w:lang w:val="en-US"/>
        </w:rPr>
        <w:t>from 4.3)</w:t>
      </w:r>
    </w:p>
    <w:p w:rsidR="00854E9D" w:rsidRPr="00E332EB" w:rsidRDefault="00854E9D" w:rsidP="00770904">
      <w:r>
        <w:t>T</w:t>
      </w:r>
      <w:r w:rsidRPr="00403F07">
        <w:t>he EC</w:t>
      </w:r>
      <w:r>
        <w:t xml:space="preserve"> has</w:t>
      </w:r>
      <w:r w:rsidRPr="00403F07">
        <w:t xml:space="preserve"> issue</w:t>
      </w:r>
      <w:r>
        <w:t>d a proposal for a specific directive on this issue, even thouhg</w:t>
      </w:r>
      <w:r w:rsidRPr="00403F07">
        <w:t xml:space="preserve"> the necessity f</w:t>
      </w:r>
      <w:r>
        <w:t>or</w:t>
      </w:r>
      <w:r w:rsidRPr="00403F07">
        <w:t xml:space="preserve"> action is </w:t>
      </w:r>
      <w:r>
        <w:t>subject to much debate.</w:t>
      </w:r>
    </w:p>
    <w:p w:rsidR="00854E9D" w:rsidRPr="00E332EB" w:rsidRDefault="00854E9D" w:rsidP="00770904">
      <w:pPr>
        <w:pStyle w:val="ListParagraph"/>
        <w:numPr>
          <w:ilvl w:val="0"/>
          <w:numId w:val="17"/>
        </w:numPr>
      </w:pPr>
      <w:r w:rsidRPr="00403F07">
        <w:rPr>
          <w:b/>
          <w:bCs/>
        </w:rPr>
        <w:t>Appropriateness:</w:t>
      </w:r>
      <w:r w:rsidRPr="00403F07">
        <w:t xml:space="preserve"> </w:t>
      </w:r>
      <w:r>
        <w:t>M</w:t>
      </w:r>
      <w:r w:rsidRPr="00403F07">
        <w:t>ore legal certainty can be en</w:t>
      </w:r>
      <w:r>
        <w:t>sured with simpler measures such as</w:t>
      </w:r>
      <w:r w:rsidRPr="00403F07">
        <w:t xml:space="preserve"> recommendations or clarifying communications.</w:t>
      </w:r>
    </w:p>
    <w:p w:rsidR="00854E9D" w:rsidRPr="00E332EB" w:rsidRDefault="00854E9D" w:rsidP="00770904">
      <w:pPr>
        <w:pStyle w:val="ListParagraph"/>
        <w:numPr>
          <w:ilvl w:val="0"/>
          <w:numId w:val="17"/>
        </w:numPr>
      </w:pPr>
      <w:r w:rsidRPr="00403F07">
        <w:rPr>
          <w:b/>
          <w:bCs/>
        </w:rPr>
        <w:t xml:space="preserve">Room for LRAs: </w:t>
      </w:r>
      <w:r w:rsidRPr="00403F07">
        <w:t xml:space="preserve">Current framework provides enough room for LRAs. </w:t>
      </w:r>
      <w:r>
        <w:t>The e</w:t>
      </w:r>
      <w:r w:rsidRPr="00403F07">
        <w:t>xpected course of action is likely to take away some of the flexibility.</w:t>
      </w:r>
    </w:p>
    <w:p w:rsidR="00854E9D" w:rsidRPr="00E763BB" w:rsidRDefault="00854E9D" w:rsidP="00770904"/>
    <w:p w:rsidR="00854E9D" w:rsidRDefault="00854E9D" w:rsidP="00770904">
      <w:r w:rsidRPr="002F4512">
        <w:rPr>
          <w:i/>
        </w:rPr>
        <w:t>Recommended action</w:t>
      </w:r>
      <w:r w:rsidRPr="00403F07">
        <w:rPr>
          <w:i/>
          <w:iCs/>
        </w:rPr>
        <w:t xml:space="preserve">: </w:t>
      </w:r>
      <w:r>
        <w:t xml:space="preserve">Since it is a hotly debated issue, legislation would probably further complicate matters. An easier, more practical option would have been to issue a communication explaining the current framework. </w:t>
      </w:r>
    </w:p>
    <w:p w:rsidR="00854E9D" w:rsidRPr="00E332EB" w:rsidRDefault="00854E9D" w:rsidP="00770904"/>
    <w:p w:rsidR="00854E9D" w:rsidRPr="00E713CE" w:rsidRDefault="00854E9D" w:rsidP="00770904">
      <w:pPr>
        <w:pStyle w:val="Subheading2"/>
        <w:jc w:val="both"/>
        <w:rPr>
          <w:lang w:val="en-GB"/>
        </w:rPr>
      </w:pPr>
      <w:r w:rsidRPr="00FE44B0">
        <w:rPr>
          <w:bCs w:val="0"/>
          <w:lang w:val="en-US"/>
        </w:rPr>
        <w:t xml:space="preserve">C) </w:t>
      </w:r>
      <w:r w:rsidRPr="00E713CE">
        <w:rPr>
          <w:bCs w:val="0"/>
          <w:lang w:val="en-US"/>
        </w:rPr>
        <w:t>Specific rule to avoid gold-plating for below-threshold</w:t>
      </w:r>
      <w:r w:rsidRPr="00E713CE">
        <w:rPr>
          <w:b w:val="0"/>
          <w:bCs w:val="0"/>
          <w:lang w:val="en-US"/>
        </w:rPr>
        <w:t xml:space="preserve"> </w:t>
      </w:r>
      <w:r w:rsidRPr="00E713CE">
        <w:rPr>
          <w:bCs w:val="0"/>
          <w:lang w:val="en-US"/>
        </w:rPr>
        <w:t>contracts (continued from 4.3)</w:t>
      </w:r>
    </w:p>
    <w:p w:rsidR="00854E9D" w:rsidRPr="00E713CE" w:rsidRDefault="00854E9D" w:rsidP="00770904">
      <w:r w:rsidRPr="00E713CE">
        <w:t>As discussed in the subsidiarity section, action in this field is required</w:t>
      </w:r>
      <w:r>
        <w:t xml:space="preserve"> in order</w:t>
      </w:r>
      <w:r w:rsidRPr="00E713CE">
        <w:t xml:space="preserve"> to safeguard LRAs interests. </w:t>
      </w:r>
    </w:p>
    <w:p w:rsidR="00854E9D" w:rsidRPr="00E713CE" w:rsidRDefault="00854E9D" w:rsidP="00770904">
      <w:pPr>
        <w:pStyle w:val="ListParagraph"/>
        <w:numPr>
          <w:ilvl w:val="0"/>
          <w:numId w:val="16"/>
        </w:numPr>
      </w:pPr>
      <w:r w:rsidRPr="00E713CE">
        <w:rPr>
          <w:b/>
          <w:bCs/>
        </w:rPr>
        <w:t>Appropriateness:</w:t>
      </w:r>
      <w:r>
        <w:t xml:space="preserve"> -No action taken.</w:t>
      </w:r>
      <w:r w:rsidRPr="00E713CE">
        <w:t>-</w:t>
      </w:r>
    </w:p>
    <w:p w:rsidR="00854E9D" w:rsidRPr="00E713CE" w:rsidRDefault="00854E9D" w:rsidP="00770904">
      <w:pPr>
        <w:pStyle w:val="ListParagraph"/>
        <w:numPr>
          <w:ilvl w:val="0"/>
          <w:numId w:val="16"/>
        </w:numPr>
      </w:pPr>
      <w:r w:rsidRPr="00E713CE">
        <w:rPr>
          <w:b/>
          <w:bCs/>
        </w:rPr>
        <w:t xml:space="preserve">Room for LRAs: </w:t>
      </w:r>
      <w:r>
        <w:t xml:space="preserve">-No action </w:t>
      </w:r>
      <w:r w:rsidRPr="00E713CE">
        <w:t>taken.-</w:t>
      </w:r>
    </w:p>
    <w:p w:rsidR="00854E9D" w:rsidRPr="00E713CE" w:rsidRDefault="00854E9D" w:rsidP="00770904">
      <w:pPr>
        <w:rPr>
          <w:b/>
          <w:bCs/>
        </w:rPr>
      </w:pPr>
    </w:p>
    <w:p w:rsidR="00854E9D" w:rsidRPr="00E332EB" w:rsidRDefault="00854E9D" w:rsidP="00770904">
      <w:r w:rsidRPr="00E713CE">
        <w:rPr>
          <w:i/>
        </w:rPr>
        <w:t>Recommended action</w:t>
      </w:r>
      <w:r>
        <w:rPr>
          <w:i/>
        </w:rPr>
        <w:t xml:space="preserve">: </w:t>
      </w:r>
      <w:r>
        <w:t xml:space="preserve">While action is desirable in order to protect </w:t>
      </w:r>
      <w:r w:rsidRPr="00E713CE">
        <w:t>LRAs from extensive national regulations</w:t>
      </w:r>
      <w:r w:rsidRPr="00403F07">
        <w:t>, the action should be kept as simple as possible. It is important to recall that the general consensus</w:t>
      </w:r>
      <w:r>
        <w:rPr>
          <w:rStyle w:val="FootnoteReference"/>
        </w:rPr>
        <w:footnoteReference w:id="41"/>
      </w:r>
      <w:r>
        <w:t xml:space="preserve"> is that below-</w:t>
      </w:r>
      <w:r w:rsidRPr="00403F07">
        <w:t xml:space="preserve">thresholds are </w:t>
      </w:r>
      <w:r>
        <w:t xml:space="preserve">at </w:t>
      </w:r>
      <w:r w:rsidRPr="00403F07">
        <w:t xml:space="preserve">the discretion of </w:t>
      </w:r>
      <w:r>
        <w:t>MS</w:t>
      </w:r>
      <w:r w:rsidRPr="00403F07">
        <w:t xml:space="preserve"> and not the EU. A solution could be to issue non-binding recommendations and call for the national legislation to minimise the burdens for LRAs, in line with the priorities of the regions as well as the </w:t>
      </w:r>
      <w:r>
        <w:t>Commission</w:t>
      </w:r>
      <w:r w:rsidRPr="00403F07">
        <w:t>. The recommendations cou</w:t>
      </w:r>
      <w:r>
        <w:t>ld guide the MS</w:t>
      </w:r>
      <w:r w:rsidRPr="00403F07">
        <w:t xml:space="preserve"> in ensuring that the procedures for below</w:t>
      </w:r>
      <w:r>
        <w:t>-</w:t>
      </w:r>
      <w:r w:rsidRPr="00403F07">
        <w:t>threshold contracts are necessarily</w:t>
      </w:r>
      <w:r>
        <w:t xml:space="preserve"> less burdensome than for </w:t>
      </w:r>
      <w:r w:rsidRPr="00403F07">
        <w:t>contracts above</w:t>
      </w:r>
      <w:r>
        <w:t xml:space="preserve"> the </w:t>
      </w:r>
      <w:r w:rsidRPr="00403F07">
        <w:t xml:space="preserve">threshold. </w:t>
      </w:r>
    </w:p>
    <w:p w:rsidR="00854E9D" w:rsidRDefault="00854E9D" w:rsidP="00770904">
      <w:pPr>
        <w:pStyle w:val="Subheading2"/>
        <w:rPr>
          <w:lang w:val="en-GB"/>
        </w:rPr>
      </w:pPr>
    </w:p>
    <w:p w:rsidR="00854E9D" w:rsidRPr="002F4512" w:rsidRDefault="00854E9D" w:rsidP="00770904">
      <w:pPr>
        <w:pStyle w:val="Subheading2"/>
        <w:jc w:val="both"/>
        <w:rPr>
          <w:lang w:val="en-GB"/>
        </w:rPr>
      </w:pPr>
      <w:r>
        <w:rPr>
          <w:bCs w:val="0"/>
          <w:lang w:val="en-US"/>
        </w:rPr>
        <w:t>D</w:t>
      </w:r>
      <w:r w:rsidRPr="00FE44B0">
        <w:rPr>
          <w:bCs w:val="0"/>
          <w:lang w:val="en-US"/>
        </w:rPr>
        <w:t>) Mandatory use of el</w:t>
      </w:r>
      <w:r>
        <w:rPr>
          <w:bCs w:val="0"/>
          <w:lang w:val="en-US"/>
        </w:rPr>
        <w:t>e</w:t>
      </w:r>
      <w:r w:rsidRPr="00FE44B0">
        <w:rPr>
          <w:bCs w:val="0"/>
          <w:lang w:val="en-US"/>
        </w:rPr>
        <w:t>ctronic procurement  (continued from 4</w:t>
      </w:r>
      <w:r>
        <w:rPr>
          <w:bCs w:val="0"/>
          <w:lang w:val="en-US"/>
        </w:rPr>
        <w:t>.3)</w:t>
      </w:r>
    </w:p>
    <w:p w:rsidR="00854E9D" w:rsidRDefault="00854E9D" w:rsidP="00770904">
      <w:r>
        <w:t>The wide use of mandatory electronic procurement can certainly produce savings for both public authorities and economic operators. Nevertheless, a</w:t>
      </w:r>
      <w:r w:rsidRPr="00E332EB">
        <w:t>s estab</w:t>
      </w:r>
      <w:r>
        <w:t>lished in the previous section, rigid obligation in this field and the ‘one size fits all’ approach can be very dangerous and may provoke an increase in administrative costs and burdens for small CAs.</w:t>
      </w:r>
    </w:p>
    <w:p w:rsidR="00854E9D" w:rsidRDefault="00854E9D" w:rsidP="00770904">
      <w:pPr>
        <w:pStyle w:val="ListParagraph"/>
        <w:numPr>
          <w:ilvl w:val="0"/>
          <w:numId w:val="28"/>
        </w:numPr>
      </w:pPr>
      <w:r w:rsidRPr="00BE54C1">
        <w:rPr>
          <w:b/>
          <w:bCs/>
        </w:rPr>
        <w:t xml:space="preserve"> Appropriateness:</w:t>
      </w:r>
      <w:r w:rsidRPr="00E332EB">
        <w:t xml:space="preserve"> </w:t>
      </w:r>
      <w:r>
        <w:t xml:space="preserve">making the use of electronic procurement obligatory is </w:t>
      </w:r>
      <w:r w:rsidRPr="00E332EB">
        <w:t xml:space="preserve">inappropriate </w:t>
      </w:r>
      <w:r>
        <w:t>since it would impose an additional burden on small LRAs</w:t>
      </w:r>
      <w:r w:rsidRPr="00E332EB">
        <w:t>.</w:t>
      </w:r>
    </w:p>
    <w:p w:rsidR="00854E9D" w:rsidRPr="0066739F" w:rsidRDefault="00854E9D" w:rsidP="00770904">
      <w:pPr>
        <w:pStyle w:val="ListParagraph"/>
        <w:numPr>
          <w:ilvl w:val="0"/>
          <w:numId w:val="28"/>
        </w:numPr>
      </w:pPr>
      <w:r w:rsidRPr="0066739F">
        <w:rPr>
          <w:b/>
          <w:bCs/>
        </w:rPr>
        <w:t xml:space="preserve">Room for LRAs: </w:t>
      </w:r>
      <w:r w:rsidRPr="0066739F">
        <w:t xml:space="preserve">Deciding </w:t>
      </w:r>
      <w:r>
        <w:t xml:space="preserve">whether and especially when to adopt electronic procurement </w:t>
      </w:r>
      <w:r w:rsidRPr="0066739F">
        <w:t>should be left to LRAs as they are in a better position to decide.</w:t>
      </w:r>
    </w:p>
    <w:p w:rsidR="00854E9D" w:rsidRPr="00E332EB" w:rsidRDefault="00854E9D" w:rsidP="00770904">
      <w:pPr>
        <w:rPr>
          <w:b/>
          <w:bCs/>
        </w:rPr>
      </w:pPr>
    </w:p>
    <w:p w:rsidR="00854E9D" w:rsidRDefault="00854E9D" w:rsidP="00770904">
      <w:pPr>
        <w:autoSpaceDE w:val="0"/>
        <w:autoSpaceDN w:val="0"/>
        <w:adjustRightInd w:val="0"/>
        <w:rPr>
          <w:iCs/>
        </w:rPr>
      </w:pPr>
      <w:r w:rsidRPr="002F4512">
        <w:rPr>
          <w:i/>
        </w:rPr>
        <w:t>Recommended action</w:t>
      </w:r>
      <w:r w:rsidRPr="00403F07">
        <w:rPr>
          <w:i/>
          <w:iCs/>
        </w:rPr>
        <w:t>:</w:t>
      </w:r>
      <w:r>
        <w:rPr>
          <w:i/>
          <w:iCs/>
        </w:rPr>
        <w:t xml:space="preserve"> </w:t>
      </w:r>
      <w:r>
        <w:rPr>
          <w:iCs/>
        </w:rPr>
        <w:t>there are two options:</w:t>
      </w:r>
    </w:p>
    <w:p w:rsidR="00854E9D" w:rsidRDefault="00854E9D" w:rsidP="00770904">
      <w:pPr>
        <w:pStyle w:val="ListParagraph"/>
        <w:numPr>
          <w:ilvl w:val="0"/>
          <w:numId w:val="29"/>
        </w:numPr>
        <w:autoSpaceDE w:val="0"/>
        <w:autoSpaceDN w:val="0"/>
        <w:adjustRightInd w:val="0"/>
        <w:rPr>
          <w:iCs/>
        </w:rPr>
      </w:pPr>
      <w:r>
        <w:rPr>
          <w:iCs/>
        </w:rPr>
        <w:t xml:space="preserve">exclusion of sub regional CAs from the obligation to use electronic procurement </w:t>
      </w:r>
    </w:p>
    <w:p w:rsidR="00854E9D" w:rsidRDefault="00854E9D" w:rsidP="00770904">
      <w:pPr>
        <w:pStyle w:val="ListParagraph"/>
        <w:numPr>
          <w:ilvl w:val="0"/>
          <w:numId w:val="29"/>
        </w:numPr>
        <w:autoSpaceDE w:val="0"/>
        <w:autoSpaceDN w:val="0"/>
        <w:adjustRightInd w:val="0"/>
        <w:rPr>
          <w:iCs/>
        </w:rPr>
      </w:pPr>
      <w:r>
        <w:rPr>
          <w:iCs/>
        </w:rPr>
        <w:t xml:space="preserve">extension of the time for mandatory use of electronic procurement from 2 years (as now provided by art. 19.7 ) to 4 years to make the switch smoother and have less impact on administrative costs. </w:t>
      </w:r>
    </w:p>
    <w:p w:rsidR="00854E9D" w:rsidRDefault="00854E9D" w:rsidP="00770904">
      <w:pPr>
        <w:pStyle w:val="Subheading2"/>
        <w:rPr>
          <w:lang w:val="en-GB"/>
        </w:rPr>
      </w:pPr>
    </w:p>
    <w:p w:rsidR="00854E9D" w:rsidRPr="00E332EB" w:rsidRDefault="00854E9D" w:rsidP="00770904">
      <w:pPr>
        <w:pStyle w:val="Heading2"/>
      </w:pPr>
    </w:p>
    <w:p w:rsidR="00854E9D" w:rsidRPr="002A1419" w:rsidRDefault="00854E9D" w:rsidP="00770904">
      <w:pPr>
        <w:pStyle w:val="Heading2"/>
        <w:rPr>
          <w:smallCaps/>
        </w:rPr>
      </w:pPr>
      <w:bookmarkStart w:id="24" w:name="_Toc189650459"/>
      <w:r w:rsidRPr="002A1419">
        <w:t>4.6   Better Lawmaking</w:t>
      </w:r>
      <w:bookmarkEnd w:id="24"/>
    </w:p>
    <w:p w:rsidR="00854E9D" w:rsidRPr="002A1419" w:rsidRDefault="00854E9D" w:rsidP="00770904"/>
    <w:p w:rsidR="00854E9D" w:rsidRDefault="00854E9D" w:rsidP="00770904">
      <w:r>
        <w:t xml:space="preserve">In general terms, the impact assessment of the old directives and the Green Paper take proper account of regional aspects. The EU PP framework, as a whole, is purported to have </w:t>
      </w:r>
      <w:r>
        <w:rPr>
          <w:b/>
        </w:rPr>
        <w:t>saved €20 billion</w:t>
      </w:r>
      <w:r>
        <w:t xml:space="preserve">. However, there are individual issues in which regional aspects have not been taken fully into account and certain issues in which EU action is likely to increase burdens (or there is a potential to cut burdens for LRAs). These considerations have been included in the discussion of potential issues in sections </w:t>
      </w:r>
      <w:r w:rsidRPr="002A1419">
        <w:t>4.2-4.5</w:t>
      </w:r>
      <w:r>
        <w:t xml:space="preserve"> </w:t>
      </w:r>
      <w:r w:rsidRPr="002A1419">
        <w:t>(see also Table 1</w:t>
      </w:r>
      <w:r>
        <w:t xml:space="preserve"> in the next page</w:t>
      </w:r>
      <w:r w:rsidRPr="002A1419">
        <w:t>).</w:t>
      </w:r>
    </w:p>
    <w:p w:rsidR="00854E9D" w:rsidRDefault="00854E9D" w:rsidP="00770904">
      <w:r>
        <w:br w:type="page"/>
      </w:r>
    </w:p>
    <w:p w:rsidR="00854E9D" w:rsidRDefault="00854E9D" w:rsidP="00770904">
      <w:r>
        <w:br w:type="page"/>
      </w:r>
    </w:p>
    <w:p w:rsidR="00854E9D" w:rsidRDefault="00854E9D" w:rsidP="00770904">
      <w:pPr>
        <w:pStyle w:val="Heading1"/>
      </w:pPr>
      <w:bookmarkStart w:id="25" w:name="_Toc189650460"/>
      <w:r w:rsidRPr="00097D9F">
        <w:t xml:space="preserve">Conclusion (Role of the </w:t>
      </w:r>
      <w:r>
        <w:t>EU</w:t>
      </w:r>
      <w:r w:rsidRPr="00097D9F">
        <w:t>)</w:t>
      </w:r>
      <w:bookmarkEnd w:id="25"/>
    </w:p>
    <w:p w:rsidR="00854E9D" w:rsidRDefault="00854E9D" w:rsidP="00770904"/>
    <w:p w:rsidR="00854E9D" w:rsidRDefault="00854E9D" w:rsidP="00770904">
      <w:bookmarkStart w:id="26" w:name="_Ref311388209"/>
      <w:r>
        <w:t xml:space="preserve">There is no question that action is required at the EU level to successfully tackle some of the most important problems regarding procurement. The Commission’s decision to revise the current directives is indeed a positive outcome for the whole of Europe (including LRAs) in terms of increasing effectiveness. However, it is essential to remember that action at EU level should be used with caution and should be considered secondary to action at national or regional levels, and not vice versa. In general terms, the actions proposed by the EC are largely satisfactory, i.e. action at EU level is required and is expected only to be to the extent necessary. </w:t>
      </w:r>
    </w:p>
    <w:p w:rsidR="00854E9D" w:rsidRDefault="00854E9D" w:rsidP="00770904"/>
    <w:p w:rsidR="00854E9D" w:rsidRDefault="00854E9D" w:rsidP="00770904">
      <w:r>
        <w:t xml:space="preserve">Based on prior analysis, this report is intended to stimulate debate in regional assemblies on issues which can potentially violate the principles of subsidiarity and proportionality (see Table 1 below). Regional parliaments can give extra weight to the discussion by treating these issues as guidelines and interpreting them in a region-by-region context. </w:t>
      </w:r>
    </w:p>
    <w:p w:rsidR="00854E9D" w:rsidRDefault="00854E9D" w:rsidP="00770904">
      <w:pPr>
        <w:rPr>
          <w:b/>
          <w:bCs/>
          <w:i/>
          <w:iCs/>
        </w:rPr>
      </w:pPr>
    </w:p>
    <w:p w:rsidR="00854E9D" w:rsidRPr="00B70B2C" w:rsidRDefault="00854E9D" w:rsidP="00770904">
      <w:pPr>
        <w:rPr>
          <w:b/>
          <w:bCs/>
        </w:rPr>
      </w:pPr>
      <w:r w:rsidRPr="00CA5FC5">
        <w:rPr>
          <w:b/>
          <w:bCs/>
        </w:rPr>
        <w:t xml:space="preserve">Table </w:t>
      </w:r>
      <w:r w:rsidRPr="00CA5FC5">
        <w:rPr>
          <w:b/>
          <w:bCs/>
        </w:rPr>
        <w:fldChar w:fldCharType="begin"/>
      </w:r>
      <w:r w:rsidRPr="00CA5FC5">
        <w:rPr>
          <w:b/>
          <w:bCs/>
        </w:rPr>
        <w:instrText xml:space="preserve"> SEQ Table \* ARABIC </w:instrText>
      </w:r>
      <w:r w:rsidRPr="00CA5FC5">
        <w:rPr>
          <w:b/>
          <w:bCs/>
        </w:rPr>
        <w:fldChar w:fldCharType="separate"/>
      </w:r>
      <w:r>
        <w:rPr>
          <w:b/>
          <w:bCs/>
          <w:noProof/>
        </w:rPr>
        <w:t>1</w:t>
      </w:r>
      <w:r w:rsidRPr="00CA5FC5">
        <w:rPr>
          <w:b/>
          <w:bCs/>
        </w:rPr>
        <w:fldChar w:fldCharType="end"/>
      </w:r>
      <w:bookmarkEnd w:id="26"/>
      <w:r w:rsidRPr="00CA5FC5">
        <w:rPr>
          <w:b/>
          <w:bCs/>
        </w:rPr>
        <w:t>: Summary of potential S&amp;P issues</w:t>
      </w:r>
    </w:p>
    <w:p w:rsidR="00854E9D" w:rsidRPr="00BF002C" w:rsidRDefault="00854E9D" w:rsidP="00770904">
      <w:r>
        <w:rPr>
          <w:noProof/>
          <w:lang w:eastAsia="zh-CN"/>
        </w:rPr>
        <w:pict>
          <v:shape id="Immagine 1" o:spid="_x0000_i1026" type="#_x0000_t75" style="width:412.5pt;height:115.5pt;visibility:visible">
            <v:imagedata r:id="rId17" o:title=""/>
          </v:shape>
        </w:pict>
      </w:r>
    </w:p>
    <w:p w:rsidR="00854E9D" w:rsidRPr="00BF002C" w:rsidRDefault="00854E9D" w:rsidP="00770904">
      <w:pPr>
        <w:jc w:val="right"/>
        <w:rPr>
          <w:i/>
          <w:iCs/>
        </w:rPr>
      </w:pPr>
      <w:r w:rsidRPr="00403F07">
        <w:rPr>
          <w:i/>
          <w:iCs/>
        </w:rPr>
        <w:t>Source: t33</w:t>
      </w:r>
    </w:p>
    <w:p w:rsidR="00854E9D" w:rsidRPr="00BF002C" w:rsidRDefault="00854E9D" w:rsidP="00770904"/>
    <w:p w:rsidR="00854E9D" w:rsidRDefault="00854E9D" w:rsidP="00770904">
      <w:r>
        <w:t>In conclusion, the role of the Commission should be to ensure a level-playing field for all stakeholders in the single European market. The Commission should aim to push for maximum cooperation at national and regional levels in order to achieve the desired objectives; and if such cooperation proves insufficient, controlled action must be taken at EU level.</w:t>
      </w:r>
    </w:p>
    <w:p w:rsidR="00854E9D" w:rsidRPr="00BF002C" w:rsidRDefault="00854E9D" w:rsidP="00770904"/>
    <w:p w:rsidR="00854E9D" w:rsidRPr="00BF002C" w:rsidRDefault="00854E9D" w:rsidP="00770904">
      <w:pPr>
        <w:spacing w:line="276" w:lineRule="auto"/>
      </w:pPr>
    </w:p>
    <w:sectPr w:rsidR="00854E9D" w:rsidRPr="00BF002C" w:rsidSect="00770904">
      <w:footerReference w:type="default" r:id="rId1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E9D" w:rsidRDefault="00854E9D" w:rsidP="00B76DA1">
      <w:r>
        <w:separator/>
      </w:r>
    </w:p>
    <w:p w:rsidR="00854E9D" w:rsidRDefault="00854E9D"/>
  </w:endnote>
  <w:endnote w:type="continuationSeparator" w:id="1">
    <w:p w:rsidR="00854E9D" w:rsidRDefault="00854E9D" w:rsidP="00B76DA1">
      <w:r>
        <w:continuationSeparator/>
      </w:r>
    </w:p>
    <w:p w:rsidR="00854E9D" w:rsidRDefault="00854E9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Neue Light">
    <w:altName w:val="Courier New"/>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MingLiU">
    <w:altName w:val="¡Ps2OcuAe"/>
    <w:panose1 w:val="02010601000101010101"/>
    <w:charset w:val="88"/>
    <w:family w:val="auto"/>
    <w:notTrueType/>
    <w:pitch w:val="variable"/>
    <w:sig w:usb0="00000001" w:usb1="08080000" w:usb2="00000010" w:usb3="00000000" w:csb0="00100000" w:csb1="00000000"/>
  </w:font>
  <w:font w:name="TimesNew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9D" w:rsidRDefault="00854E9D" w:rsidP="007709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E9D" w:rsidRDefault="00854E9D" w:rsidP="00AA5A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9D" w:rsidRDefault="00854E9D" w:rsidP="00AA5A8F">
    <w:pPr>
      <w:pStyle w:val="Footer"/>
      <w:ind w:right="360"/>
      <w:jc w:val="right"/>
    </w:pPr>
  </w:p>
  <w:p w:rsidR="00854E9D" w:rsidRDefault="00854E9D" w:rsidP="00AA5A8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9D" w:rsidRDefault="00854E9D">
    <w:pPr>
      <w:pStyle w:val="Footer"/>
      <w:jc w:val="center"/>
    </w:pPr>
  </w:p>
  <w:p w:rsidR="00854E9D" w:rsidRDefault="00854E9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9D" w:rsidRDefault="00854E9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9D" w:rsidRDefault="00854E9D">
    <w:pPr>
      <w:pStyle w:val="Footer"/>
      <w:jc w:val="center"/>
    </w:pPr>
  </w:p>
  <w:p w:rsidR="00854E9D" w:rsidRDefault="00854E9D" w:rsidP="00CE7247">
    <w:pPr>
      <w:pStyle w:val="Footer"/>
    </w:pPr>
  </w:p>
  <w:p w:rsidR="00854E9D" w:rsidRDefault="00854E9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9D" w:rsidRPr="00770904" w:rsidRDefault="00854E9D" w:rsidP="002D1B58">
    <w:pPr>
      <w:pStyle w:val="Footer"/>
      <w:framePr w:wrap="around" w:vAnchor="text" w:hAnchor="margin" w:xAlign="center" w:y="1"/>
      <w:rPr>
        <w:rStyle w:val="PageNumber"/>
        <w:sz w:val="28"/>
        <w:szCs w:val="28"/>
      </w:rPr>
    </w:pPr>
    <w:r w:rsidRPr="00770904">
      <w:rPr>
        <w:rStyle w:val="PageNumber"/>
        <w:sz w:val="28"/>
        <w:szCs w:val="28"/>
      </w:rPr>
      <w:fldChar w:fldCharType="begin"/>
    </w:r>
    <w:r w:rsidRPr="00770904">
      <w:rPr>
        <w:rStyle w:val="PageNumber"/>
        <w:sz w:val="28"/>
        <w:szCs w:val="28"/>
      </w:rPr>
      <w:instrText xml:space="preserve">PAGE  </w:instrText>
    </w:r>
    <w:r w:rsidRPr="00770904">
      <w:rPr>
        <w:rStyle w:val="PageNumber"/>
        <w:sz w:val="28"/>
        <w:szCs w:val="28"/>
      </w:rPr>
      <w:fldChar w:fldCharType="separate"/>
    </w:r>
    <w:r>
      <w:rPr>
        <w:rStyle w:val="PageNumber"/>
        <w:noProof/>
        <w:sz w:val="28"/>
        <w:szCs w:val="28"/>
      </w:rPr>
      <w:t>29</w:t>
    </w:r>
    <w:r w:rsidRPr="00770904">
      <w:rPr>
        <w:rStyle w:val="PageNumber"/>
        <w:sz w:val="28"/>
        <w:szCs w:val="28"/>
      </w:rPr>
      <w:fldChar w:fldCharType="end"/>
    </w:r>
  </w:p>
  <w:p w:rsidR="00854E9D" w:rsidRPr="00770904" w:rsidRDefault="00854E9D">
    <w:pPr>
      <w:pStyle w:val="Foo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E9D" w:rsidRDefault="00854E9D" w:rsidP="00B76DA1">
      <w:r>
        <w:separator/>
      </w:r>
    </w:p>
    <w:p w:rsidR="00854E9D" w:rsidRDefault="00854E9D"/>
  </w:footnote>
  <w:footnote w:type="continuationSeparator" w:id="1">
    <w:p w:rsidR="00854E9D" w:rsidRDefault="00854E9D" w:rsidP="00B76DA1">
      <w:r>
        <w:continuationSeparator/>
      </w:r>
    </w:p>
    <w:p w:rsidR="00854E9D" w:rsidRDefault="00854E9D"/>
  </w:footnote>
  <w:footnote w:id="2">
    <w:p w:rsidR="00854E9D" w:rsidRDefault="00854E9D" w:rsidP="00770904">
      <w:pPr>
        <w:pStyle w:val="FootnoteText"/>
      </w:pPr>
      <w:r>
        <w:rPr>
          <w:rStyle w:val="FootnoteReference"/>
        </w:rPr>
        <w:footnoteRef/>
      </w:r>
      <w:r>
        <w:t xml:space="preserve"> </w:t>
      </w:r>
      <w:r w:rsidRPr="00FE44B0">
        <w:rPr>
          <w:lang w:val="en-US"/>
        </w:rPr>
        <w:t>The expectations of the LRA are</w:t>
      </w:r>
      <w:r w:rsidRPr="0038653E">
        <w:t xml:space="preserve"> </w:t>
      </w:r>
      <w:r>
        <w:t>based on positions expressed so far during the Green paper consultation from CoR (</w:t>
      </w:r>
      <w:r w:rsidRPr="00B86E2E">
        <w:t>as a representative of the local and regional authorities</w:t>
      </w:r>
      <w:r>
        <w:t xml:space="preserve">), associations of LRAs (such as CEMR, Eurocities, etc.) and </w:t>
      </w:r>
      <w:r w:rsidRPr="00B86E2E">
        <w:t>individual regions</w:t>
      </w:r>
      <w:r>
        <w:t xml:space="preserve">. In addition we integrated the opinions </w:t>
      </w:r>
      <w:r w:rsidRPr="00B86E2E">
        <w:t>expressed in various relevant documents, re</w:t>
      </w:r>
      <w:r>
        <w:t>lating</w:t>
      </w:r>
      <w:r w:rsidRPr="00B86E2E">
        <w:t xml:space="preserve"> to </w:t>
      </w:r>
      <w:r>
        <w:t xml:space="preserve">Commission </w:t>
      </w:r>
      <w:r w:rsidRPr="00B86E2E">
        <w:t>consultation</w:t>
      </w:r>
      <w:r w:rsidRPr="00403F07">
        <w:t xml:space="preserve"> and conferences / seminars</w:t>
      </w:r>
      <w:r>
        <w:t>.</w:t>
      </w:r>
    </w:p>
  </w:footnote>
  <w:footnote w:id="3">
    <w:p w:rsidR="00854E9D" w:rsidRDefault="00854E9D" w:rsidP="00770904">
      <w:pPr>
        <w:pStyle w:val="FootnoteText"/>
      </w:pPr>
      <w:r>
        <w:rPr>
          <w:rStyle w:val="FootnoteReference"/>
        </w:rPr>
        <w:footnoteRef/>
      </w:r>
      <w:r>
        <w:t xml:space="preserve"> </w:t>
      </w:r>
      <w:r w:rsidRPr="001F64EC">
        <w:rPr>
          <w:rFonts w:ascii="Times" w:hAnsi="Times" w:cs="Times"/>
        </w:rPr>
        <w:t>COM(2011) 896 final</w:t>
      </w:r>
      <w:r>
        <w:rPr>
          <w:rFonts w:ascii="Times" w:hAnsi="Times" w:cs="Times"/>
        </w:rPr>
        <w:t>.</w:t>
      </w:r>
    </w:p>
  </w:footnote>
  <w:footnote w:id="4">
    <w:p w:rsidR="00854E9D" w:rsidRDefault="00854E9D" w:rsidP="00770904">
      <w:pPr>
        <w:pStyle w:val="FootnoteText"/>
      </w:pPr>
      <w:r>
        <w:rPr>
          <w:rStyle w:val="FootnoteReference"/>
        </w:rPr>
        <w:footnoteRef/>
      </w:r>
      <w:r>
        <w:t xml:space="preserve"> </w:t>
      </w:r>
      <w:r w:rsidRPr="001F64EC">
        <w:rPr>
          <w:rFonts w:ascii="Times" w:hAnsi="Times" w:cs="Times"/>
        </w:rPr>
        <w:t>COM(2011) 895 final</w:t>
      </w:r>
      <w:r>
        <w:rPr>
          <w:rFonts w:ascii="Times" w:hAnsi="Times" w:cs="Times"/>
        </w:rPr>
        <w:t>.</w:t>
      </w:r>
    </w:p>
  </w:footnote>
  <w:footnote w:id="5">
    <w:p w:rsidR="00854E9D" w:rsidRDefault="00854E9D" w:rsidP="00770904">
      <w:pPr>
        <w:pStyle w:val="FootnoteText"/>
      </w:pPr>
      <w:r>
        <w:rPr>
          <w:rStyle w:val="FootnoteReference"/>
        </w:rPr>
        <w:footnoteRef/>
      </w:r>
      <w:r>
        <w:t xml:space="preserve"> </w:t>
      </w:r>
      <w:r w:rsidRPr="001F64EC">
        <w:rPr>
          <w:rFonts w:ascii="Times" w:hAnsi="Times" w:cs="Times"/>
        </w:rPr>
        <w:t>COM(2011) 897 final</w:t>
      </w:r>
      <w:r>
        <w:rPr>
          <w:rFonts w:ascii="Times" w:hAnsi="Times" w:cs="Times"/>
        </w:rPr>
        <w:t>.</w:t>
      </w:r>
    </w:p>
  </w:footnote>
  <w:footnote w:id="6">
    <w:p w:rsidR="00854E9D" w:rsidRDefault="00854E9D" w:rsidP="00770904">
      <w:pPr>
        <w:pStyle w:val="FootnoteText"/>
      </w:pPr>
      <w:r>
        <w:rPr>
          <w:rStyle w:val="FootnoteReference"/>
        </w:rPr>
        <w:footnoteRef/>
      </w:r>
      <w:r>
        <w:t xml:space="preserve"> Vogel L., </w:t>
      </w:r>
      <w:r w:rsidRPr="004E20F0">
        <w:rPr>
          <w:i/>
          <w:iCs/>
        </w:rPr>
        <w:t>‘Macroeconomic Effects of Cost Savings in Public Procurement’</w:t>
      </w:r>
      <w:r>
        <w:t>, Economic Papers 389, Economic and Social Affairs, European Commission, November 2009.</w:t>
      </w:r>
    </w:p>
  </w:footnote>
  <w:footnote w:id="7">
    <w:p w:rsidR="00854E9D" w:rsidRDefault="00854E9D" w:rsidP="00770904">
      <w:pPr>
        <w:pStyle w:val="FootnoteText"/>
      </w:pPr>
      <w:r>
        <w:rPr>
          <w:rStyle w:val="FootnoteReference"/>
        </w:rPr>
        <w:footnoteRef/>
      </w:r>
      <w:r>
        <w:t xml:space="preserve"> Sourced from official EC documents (see, for example, documents mentioned in footnotes 2, 3 and 4).</w:t>
      </w:r>
    </w:p>
  </w:footnote>
  <w:footnote w:id="8">
    <w:p w:rsidR="00854E9D" w:rsidRDefault="00854E9D" w:rsidP="00770904">
      <w:pPr>
        <w:pStyle w:val="FootnoteText"/>
      </w:pPr>
      <w:r>
        <w:rPr>
          <w:rStyle w:val="FootnoteReference"/>
        </w:rPr>
        <w:footnoteRef/>
      </w:r>
      <w:r w:rsidRPr="00CA5FC5">
        <w:t xml:space="preserve"> </w:t>
      </w:r>
      <w:r w:rsidRPr="00911A32">
        <w:rPr>
          <w:i/>
        </w:rPr>
        <w:t xml:space="preserve">Directive 2004/18/EC of the European Parliament and of the Council of 31 March 2004 </w:t>
      </w:r>
      <w:r w:rsidRPr="00911A32">
        <w:rPr>
          <w:i/>
          <w:lang w:eastAsia="en-GB"/>
        </w:rPr>
        <w:t>on the coordination of procedures for the award of public works contracts, public supply contracts and public service contracts</w:t>
      </w:r>
      <w:r w:rsidRPr="00CA5FC5">
        <w:rPr>
          <w:lang w:eastAsia="en-GB"/>
        </w:rPr>
        <w:t>, OJ L 134, 30.4.2004, p. 114.</w:t>
      </w:r>
    </w:p>
  </w:footnote>
  <w:footnote w:id="9">
    <w:p w:rsidR="00854E9D" w:rsidRDefault="00854E9D" w:rsidP="00770904">
      <w:pPr>
        <w:pStyle w:val="FootnoteText"/>
      </w:pPr>
      <w:r>
        <w:rPr>
          <w:rStyle w:val="FootnoteReference"/>
        </w:rPr>
        <w:footnoteRef/>
      </w:r>
      <w:r w:rsidRPr="00CA5FC5">
        <w:t xml:space="preserve"> </w:t>
      </w:r>
      <w:r w:rsidRPr="00911A32">
        <w:rPr>
          <w:i/>
          <w:lang w:eastAsia="en-GB"/>
        </w:rPr>
        <w:t>Directive 2004/17/EC of the European Parliament and of the Council of 31 March 2004 coordinating the procurement procedures of entities operating in the water, energy, transport and postal services sectors</w:t>
      </w:r>
      <w:r>
        <w:rPr>
          <w:lang w:eastAsia="en-GB"/>
        </w:rPr>
        <w:t>, OJ L 134, 30.4.2004, p. 1.</w:t>
      </w:r>
    </w:p>
  </w:footnote>
  <w:footnote w:id="10">
    <w:p w:rsidR="00854E9D" w:rsidRDefault="00854E9D" w:rsidP="00770904">
      <w:pPr>
        <w:pStyle w:val="FootnoteText"/>
      </w:pPr>
      <w:r w:rsidRPr="006C5759">
        <w:rPr>
          <w:rStyle w:val="FootnoteReference"/>
        </w:rPr>
        <w:footnoteRef/>
      </w:r>
      <w:r w:rsidRPr="006C5759">
        <w:t xml:space="preserve"> EC (2011), </w:t>
      </w:r>
      <w:r w:rsidRPr="004E20F0">
        <w:rPr>
          <w:i/>
          <w:iCs/>
        </w:rPr>
        <w:t>‘Evaluation Report – Impact and Effectiveness of EU Public Procurement Legislation – Part 1’</w:t>
      </w:r>
      <w:r>
        <w:t>, DG Internal Market and Services, Commission Staff Working Paper, Brussels, June 2011.</w:t>
      </w:r>
    </w:p>
  </w:footnote>
  <w:footnote w:id="11">
    <w:p w:rsidR="00854E9D" w:rsidRDefault="00854E9D" w:rsidP="00770904">
      <w:pPr>
        <w:pStyle w:val="FootnoteText"/>
      </w:pPr>
      <w:r w:rsidRPr="00AC155F">
        <w:rPr>
          <w:rStyle w:val="FootnoteReference"/>
        </w:rPr>
        <w:footnoteRef/>
      </w:r>
      <w:r w:rsidRPr="00AC155F">
        <w:t xml:space="preserve"> See Annex 9 in EC (2011), </w:t>
      </w:r>
      <w:r w:rsidRPr="004E20F0">
        <w:rPr>
          <w:i/>
          <w:iCs/>
        </w:rPr>
        <w:t>‘Evaluation Report – Impact and Effectiveness of EU Public Procurement Legislation – Part 2’</w:t>
      </w:r>
      <w:r w:rsidRPr="00AC155F">
        <w:t xml:space="preserve">, </w:t>
      </w:r>
      <w:r>
        <w:t xml:space="preserve">DG </w:t>
      </w:r>
      <w:r w:rsidRPr="00AC155F">
        <w:t>Internal Market and Services, Commission Staff Wor</w:t>
      </w:r>
      <w:r>
        <w:t>king Paper, Brussels, June 2011.</w:t>
      </w:r>
    </w:p>
  </w:footnote>
  <w:footnote w:id="12">
    <w:p w:rsidR="00854E9D" w:rsidRDefault="00854E9D" w:rsidP="00770904">
      <w:pPr>
        <w:pStyle w:val="FootnoteText"/>
      </w:pPr>
      <w:r>
        <w:rPr>
          <w:rStyle w:val="FootnoteReference"/>
        </w:rPr>
        <w:footnoteRef/>
      </w:r>
      <w:r>
        <w:t xml:space="preserve"> Bianchi T. and Guidi V., </w:t>
      </w:r>
      <w:r w:rsidRPr="004E20F0">
        <w:rPr>
          <w:i/>
          <w:iCs/>
        </w:rPr>
        <w:t>‘The Comparative Survey on the National Public Procurement Systems across the PPN’</w:t>
      </w:r>
      <w:r>
        <w:t>, December 2010.</w:t>
      </w:r>
    </w:p>
  </w:footnote>
  <w:footnote w:id="13">
    <w:p w:rsidR="00854E9D" w:rsidRDefault="00854E9D" w:rsidP="00770904">
      <w:pPr>
        <w:pStyle w:val="FootnoteText"/>
      </w:pPr>
      <w:r w:rsidRPr="008827EF">
        <w:rPr>
          <w:rStyle w:val="FootnoteReference"/>
        </w:rPr>
        <w:footnoteRef/>
      </w:r>
      <w:r w:rsidRPr="008827EF">
        <w:t xml:space="preserve"> Kahlenborn, W., Moser C</w:t>
      </w:r>
      <w:r>
        <w:t>., Frijdal J. And Essig M.</w:t>
      </w:r>
      <w:r w:rsidRPr="008827EF">
        <w:t xml:space="preserve">, </w:t>
      </w:r>
      <w:r w:rsidRPr="004E20F0">
        <w:rPr>
          <w:i/>
          <w:iCs/>
        </w:rPr>
        <w:t>‘Strategic Use of Public Procurement in Europe – Final Report to the European Commission’</w:t>
      </w:r>
      <w:r w:rsidRPr="008827EF">
        <w:t>, 20</w:t>
      </w:r>
      <w:r>
        <w:t>11, Berlin: Adelphi.</w:t>
      </w:r>
    </w:p>
  </w:footnote>
  <w:footnote w:id="14">
    <w:p w:rsidR="00854E9D" w:rsidRDefault="00854E9D" w:rsidP="00770904">
      <w:pPr>
        <w:pStyle w:val="FootnoteText"/>
      </w:pPr>
      <w:r w:rsidRPr="00337A2E">
        <w:rPr>
          <w:rStyle w:val="FootnoteReference"/>
        </w:rPr>
        <w:footnoteRef/>
      </w:r>
      <w:r>
        <w:t xml:space="preserve"> See footnote 1.</w:t>
      </w:r>
    </w:p>
  </w:footnote>
  <w:footnote w:id="15">
    <w:p w:rsidR="00854E9D" w:rsidRDefault="00854E9D" w:rsidP="00770904">
      <w:pPr>
        <w:pStyle w:val="FootnoteText"/>
      </w:pPr>
      <w:r>
        <w:rPr>
          <w:rStyle w:val="FootnoteReference"/>
        </w:rPr>
        <w:footnoteRef/>
      </w:r>
      <w:r>
        <w:t xml:space="preserve"> Strand I., Ramada P. and Canton E., </w:t>
      </w:r>
      <w:r w:rsidRPr="00740726">
        <w:rPr>
          <w:i/>
          <w:iCs/>
        </w:rPr>
        <w:t>‘Public Procurement in Europe – Cost and Effectiveness’</w:t>
      </w:r>
      <w:r>
        <w:t>, PwC, London Economics and Ecorys, March 2011.</w:t>
      </w:r>
    </w:p>
  </w:footnote>
  <w:footnote w:id="16">
    <w:p w:rsidR="00854E9D" w:rsidRPr="00CD78C9" w:rsidRDefault="00854E9D" w:rsidP="00770904">
      <w:pPr>
        <w:pStyle w:val="FootnoteText"/>
      </w:pPr>
      <w:r w:rsidRPr="00CD78C9">
        <w:rPr>
          <w:rStyle w:val="FootnoteReference"/>
        </w:rPr>
        <w:footnoteRef/>
      </w:r>
      <w:r w:rsidRPr="00CD78C9">
        <w:t xml:space="preserve"> </w:t>
      </w:r>
      <w:r>
        <w:t>‘</w:t>
      </w:r>
      <w:r w:rsidRPr="00CD78C9">
        <w:t>Publication of a contract notice results in a saving</w:t>
      </w:r>
      <w:r>
        <w:t>s</w:t>
      </w:r>
      <w:r w:rsidRPr="00CD78C9">
        <w:t xml:space="preserve"> of 1.2% compared to contracts where neither contract nor prior information notice was published. Using an open procedure is associated with </w:t>
      </w:r>
      <w:r>
        <w:t xml:space="preserve">a </w:t>
      </w:r>
      <w:r w:rsidRPr="00CD78C9">
        <w:t>further 2.6 % savings. Based on these findings, a contracting authority that publishes an invitation to tender and uses an open procedure may expect total benefits equ</w:t>
      </w:r>
      <w:r>
        <w:t>al</w:t>
      </w:r>
      <w:r w:rsidRPr="00CD78C9">
        <w:t xml:space="preserve"> to savings of 3.8 % on the final contract value. For restricted procedures, the corresponding saving</w:t>
      </w:r>
      <w:r>
        <w:t>s</w:t>
      </w:r>
      <w:r w:rsidRPr="00CD78C9">
        <w:t xml:space="preserve"> appear smaller at around 2.5%</w:t>
      </w:r>
      <w:r>
        <w:t>’</w:t>
      </w:r>
      <w:r w:rsidRPr="00CD78C9">
        <w:t xml:space="preserve">, </w:t>
      </w:r>
      <w:r w:rsidRPr="00097D9F">
        <w:t>European Commission</w:t>
      </w:r>
      <w:r w:rsidRPr="00CD78C9">
        <w:t xml:space="preserve"> </w:t>
      </w:r>
      <w:r w:rsidRPr="00CD78C9">
        <w:rPr>
          <w:i/>
          <w:iCs/>
        </w:rPr>
        <w:t>‘Evaluation Report – Impact and Effectiveness of EU PP Legislation – Part 1’</w:t>
      </w:r>
      <w:r w:rsidRPr="00CD78C9">
        <w:t>, DG Internal Market and Services, Commission Staff Working Paper, Brussels, June 2011, p. xviii</w:t>
      </w:r>
      <w:r>
        <w:t>.</w:t>
      </w:r>
    </w:p>
    <w:p w:rsidR="00854E9D" w:rsidRDefault="00854E9D" w:rsidP="00770904">
      <w:pPr>
        <w:pStyle w:val="FootnoteText"/>
      </w:pPr>
    </w:p>
  </w:footnote>
  <w:footnote w:id="17">
    <w:p w:rsidR="00854E9D" w:rsidRDefault="00854E9D" w:rsidP="00770904">
      <w:pPr>
        <w:pStyle w:val="FootnoteText"/>
      </w:pPr>
      <w:r>
        <w:rPr>
          <w:rStyle w:val="FootnoteReference"/>
        </w:rPr>
        <w:footnoteRef/>
      </w:r>
      <w:r>
        <w:t xml:space="preserve"> European Commission </w:t>
      </w:r>
      <w:r w:rsidRPr="00740726">
        <w:rPr>
          <w:i/>
          <w:iCs/>
        </w:rPr>
        <w:t>‘Green Paper on the Modernisation of EU Public Procurement Policy – Towards a More Efficient European Procurement Market – Synthesis of Replies’</w:t>
      </w:r>
      <w:r>
        <w:t xml:space="preserve">, DG </w:t>
      </w:r>
      <w:r w:rsidRPr="00AC155F">
        <w:t>Internal Market and Services</w:t>
      </w:r>
      <w:r>
        <w:t>,</w:t>
      </w:r>
      <w:r w:rsidRPr="00AC155F">
        <w:t xml:space="preserve"> Working </w:t>
      </w:r>
      <w:r>
        <w:t>Document, Brussels, June 2011.</w:t>
      </w:r>
    </w:p>
  </w:footnote>
  <w:footnote w:id="18">
    <w:p w:rsidR="00854E9D" w:rsidRDefault="00854E9D" w:rsidP="00770904">
      <w:pPr>
        <w:pStyle w:val="FootnoteText"/>
      </w:pPr>
      <w:r>
        <w:rPr>
          <w:rStyle w:val="FootnoteReference"/>
        </w:rPr>
        <w:footnoteRef/>
      </w:r>
      <w:r>
        <w:t xml:space="preserve"> </w:t>
      </w:r>
      <w:r>
        <w:rPr>
          <w:i/>
          <w:iCs/>
        </w:rPr>
        <w:t xml:space="preserve">Modernising </w:t>
      </w:r>
      <w:r w:rsidRPr="004E20F0">
        <w:rPr>
          <w:i/>
          <w:iCs/>
        </w:rPr>
        <w:t>Public Procurement</w:t>
      </w:r>
      <w:r w:rsidRPr="002C3EB4">
        <w:rPr>
          <w:i/>
          <w:iCs/>
        </w:rPr>
        <w:t xml:space="preserve"> Conference – Summary of the Proceedings</w:t>
      </w:r>
      <w:r>
        <w:t>, Brussels, 30 June 2011.</w:t>
      </w:r>
    </w:p>
  </w:footnote>
  <w:footnote w:id="19">
    <w:p w:rsidR="00854E9D" w:rsidRDefault="00854E9D" w:rsidP="00770904">
      <w:pPr>
        <w:pStyle w:val="FootnoteText"/>
      </w:pPr>
      <w:r w:rsidRPr="00185100">
        <w:rPr>
          <w:rStyle w:val="FootnoteReference"/>
        </w:rPr>
        <w:footnoteRef/>
      </w:r>
      <w:r w:rsidRPr="00185100">
        <w:t xml:space="preserve"> </w:t>
      </w:r>
      <w:r>
        <w:t>E.g. Council of European Municipalities and Regions (CEMR),</w:t>
      </w:r>
      <w:r w:rsidRPr="00983848">
        <w:rPr>
          <w:i/>
          <w:iCs/>
        </w:rPr>
        <w:t xml:space="preserve">‘Over-reliance on </w:t>
      </w:r>
      <w:r w:rsidRPr="004E20F0">
        <w:rPr>
          <w:i/>
          <w:iCs/>
        </w:rPr>
        <w:t>Public Procurement</w:t>
      </w:r>
      <w:r w:rsidRPr="00983848">
        <w:rPr>
          <w:i/>
          <w:iCs/>
        </w:rPr>
        <w:t xml:space="preserve"> as a Policy Instrument’</w:t>
      </w:r>
      <w:r>
        <w:t>, Brussels, January 2010.</w:t>
      </w:r>
    </w:p>
  </w:footnote>
  <w:footnote w:id="20">
    <w:p w:rsidR="00854E9D" w:rsidRDefault="00854E9D" w:rsidP="00770904">
      <w:pPr>
        <w:pStyle w:val="FootnoteText"/>
      </w:pPr>
      <w:r w:rsidRPr="00602BD5">
        <w:rPr>
          <w:rStyle w:val="FootnoteReference"/>
          <w:rFonts w:ascii="Times" w:hAnsi="Times" w:cs="Times"/>
        </w:rPr>
        <w:footnoteRef/>
      </w:r>
      <w:r w:rsidRPr="00602BD5">
        <w:rPr>
          <w:rFonts w:ascii="Times" w:hAnsi="Times" w:cs="Times"/>
        </w:rPr>
        <w:t xml:space="preserve"> Michel Barnier</w:t>
      </w:r>
      <w:r w:rsidRPr="00602BD5">
        <w:rPr>
          <w:rFonts w:ascii="Times" w:hAnsi="Times" w:cs="Times"/>
          <w:i/>
          <w:iCs/>
        </w:rPr>
        <w:t xml:space="preserve">, Modernising </w:t>
      </w:r>
      <w:r>
        <w:rPr>
          <w:rFonts w:ascii="Times" w:hAnsi="Times" w:cs="Times"/>
          <w:i/>
          <w:iCs/>
        </w:rPr>
        <w:t>Public Procurement</w:t>
      </w:r>
      <w:r w:rsidRPr="00602BD5">
        <w:rPr>
          <w:rFonts w:ascii="Times" w:hAnsi="Times" w:cs="Times"/>
          <w:i/>
          <w:iCs/>
        </w:rPr>
        <w:t xml:space="preserve"> Conference</w:t>
      </w:r>
      <w:r w:rsidRPr="00602BD5">
        <w:rPr>
          <w:rFonts w:ascii="Times" w:hAnsi="Times" w:cs="Times"/>
        </w:rPr>
        <w:t>, Brussels, 30 June 2011.</w:t>
      </w:r>
      <w:r>
        <w:rPr>
          <w:rFonts w:ascii="Times" w:hAnsi="Times" w:cs="Times"/>
        </w:rPr>
        <w:t xml:space="preserve"> </w:t>
      </w:r>
    </w:p>
  </w:footnote>
  <w:footnote w:id="21">
    <w:p w:rsidR="00854E9D" w:rsidRDefault="00854E9D" w:rsidP="00770904">
      <w:pPr>
        <w:pStyle w:val="FootnoteText"/>
        <w:tabs>
          <w:tab w:val="left" w:pos="284"/>
        </w:tabs>
      </w:pPr>
      <w:r>
        <w:rPr>
          <w:rStyle w:val="FootnoteReference"/>
        </w:rPr>
        <w:footnoteRef/>
      </w:r>
      <w:r>
        <w:t xml:space="preserve"> </w:t>
      </w:r>
      <w:r w:rsidRPr="00B86E2E">
        <w:t>See judgments of 25.3.2010 in Case C-451/08 Helmut Müller GmbH, paragraphs 47 to 54, and of 15.7.2010 in Case C-271/08 Commission v Germany, paragraph 75).</w:t>
      </w:r>
    </w:p>
  </w:footnote>
  <w:footnote w:id="22">
    <w:p w:rsidR="00854E9D" w:rsidRDefault="00854E9D" w:rsidP="00770904">
      <w:pPr>
        <w:pStyle w:val="FootnoteText"/>
      </w:pPr>
    </w:p>
  </w:footnote>
  <w:footnote w:id="23">
    <w:p w:rsidR="00854E9D" w:rsidRDefault="00854E9D" w:rsidP="00770904">
      <w:pPr>
        <w:pStyle w:val="FootnoteText"/>
      </w:pPr>
      <w:r>
        <w:rPr>
          <w:rStyle w:val="FootnoteReference"/>
        </w:rPr>
        <w:footnoteRef/>
      </w:r>
      <w:r>
        <w:t xml:space="preserve"> </w:t>
      </w:r>
      <w:r w:rsidRPr="00E1439F">
        <w:rPr>
          <w:rFonts w:ascii="Times" w:hAnsi="Times" w:cs="Times"/>
        </w:rPr>
        <w:t>Rühle</w:t>
      </w:r>
      <w:r>
        <w:rPr>
          <w:rFonts w:ascii="Times" w:hAnsi="Times" w:cs="Times"/>
        </w:rPr>
        <w:t>, Heide</w:t>
      </w:r>
      <w:r w:rsidRPr="00E1439F">
        <w:rPr>
          <w:rFonts w:ascii="Times" w:hAnsi="Times" w:cs="Times"/>
          <w:i/>
          <w:iCs/>
        </w:rPr>
        <w:t xml:space="preserve">, </w:t>
      </w:r>
      <w:r w:rsidRPr="00B10616">
        <w:rPr>
          <w:rFonts w:ascii="Times" w:hAnsi="Times" w:cs="Times"/>
          <w:i/>
        </w:rPr>
        <w:t>Modernising Public Procurement Conference</w:t>
      </w:r>
      <w:r>
        <w:rPr>
          <w:rFonts w:ascii="Times" w:hAnsi="Times" w:cs="Times"/>
        </w:rPr>
        <w:t>, Brussels, 30 June 2011.</w:t>
      </w:r>
    </w:p>
  </w:footnote>
  <w:footnote w:id="24">
    <w:p w:rsidR="00854E9D" w:rsidRDefault="00854E9D" w:rsidP="00770904">
      <w:pPr>
        <w:pStyle w:val="FootnoteText"/>
      </w:pPr>
      <w:r w:rsidRPr="00687FAE">
        <w:rPr>
          <w:rStyle w:val="FootnoteReference"/>
        </w:rPr>
        <w:footnoteRef/>
      </w:r>
      <w:r w:rsidRPr="00687FAE">
        <w:t xml:space="preserve"> </w:t>
      </w:r>
      <w:r>
        <w:rPr>
          <w:rFonts w:ascii="Times" w:hAnsi="Times" w:cs="Times"/>
        </w:rPr>
        <w:t>Kool, Henk</w:t>
      </w:r>
      <w:r w:rsidRPr="00E1439F">
        <w:rPr>
          <w:rFonts w:ascii="Times" w:hAnsi="Times" w:cs="Times"/>
          <w:i/>
          <w:iCs/>
        </w:rPr>
        <w:t xml:space="preserve">, </w:t>
      </w:r>
      <w:r w:rsidRPr="00B10616">
        <w:rPr>
          <w:rFonts w:ascii="Times" w:hAnsi="Times" w:cs="Times"/>
          <w:i/>
        </w:rPr>
        <w:t>Modernising Public Procurement Conference</w:t>
      </w:r>
      <w:r w:rsidRPr="00DE5FE2">
        <w:rPr>
          <w:rFonts w:ascii="Times" w:hAnsi="Times" w:cs="Times"/>
        </w:rPr>
        <w:t>,</w:t>
      </w:r>
      <w:r w:rsidRPr="00E1439F">
        <w:rPr>
          <w:rFonts w:ascii="Times" w:hAnsi="Times" w:cs="Times"/>
        </w:rPr>
        <w:t xml:space="preserve"> Brussel</w:t>
      </w:r>
      <w:r>
        <w:rPr>
          <w:rFonts w:ascii="Times" w:hAnsi="Times" w:cs="Times"/>
        </w:rPr>
        <w:t>s, 30 June 2011.</w:t>
      </w:r>
    </w:p>
  </w:footnote>
  <w:footnote w:id="25">
    <w:p w:rsidR="00854E9D" w:rsidRDefault="00854E9D" w:rsidP="00770904">
      <w:pPr>
        <w:pStyle w:val="FootnoteText"/>
      </w:pPr>
      <w:r w:rsidRPr="001D6056">
        <w:rPr>
          <w:rStyle w:val="FootnoteReference"/>
        </w:rPr>
        <w:footnoteRef/>
      </w:r>
      <w:r w:rsidRPr="001D6056">
        <w:t xml:space="preserve"> </w:t>
      </w:r>
      <w:r>
        <w:t xml:space="preserve">CoR </w:t>
      </w:r>
      <w:r w:rsidRPr="006C37CF">
        <w:t>opinion on the ‘</w:t>
      </w:r>
      <w:r w:rsidRPr="00A10F40">
        <w:rPr>
          <w:i/>
        </w:rPr>
        <w:t>Green Paper on Public-Private Partnerships and Community law on public contracts and concessions’</w:t>
      </w:r>
      <w:r w:rsidRPr="006C37CF">
        <w:t>, CdR 239/2004.</w:t>
      </w:r>
    </w:p>
  </w:footnote>
  <w:footnote w:id="26">
    <w:p w:rsidR="00854E9D" w:rsidRDefault="00854E9D" w:rsidP="00770904">
      <w:pPr>
        <w:pStyle w:val="FootnoteText"/>
      </w:pPr>
      <w:r w:rsidRPr="006C37CF">
        <w:rPr>
          <w:rStyle w:val="FootnoteReference"/>
        </w:rPr>
        <w:footnoteRef/>
      </w:r>
      <w:r w:rsidRPr="006C37CF">
        <w:t xml:space="preserve"> CoR opinion (2011)  ‘</w:t>
      </w:r>
      <w:r w:rsidRPr="00A10F40">
        <w:rPr>
          <w:i/>
        </w:rPr>
        <w:t>Mobilising private and public investment for recovery and long-term structural change: developing public-private partnerships’</w:t>
      </w:r>
      <w:r w:rsidRPr="006C37CF">
        <w:t xml:space="preserve"> (2011/C 15/05).</w:t>
      </w:r>
    </w:p>
  </w:footnote>
  <w:footnote w:id="27">
    <w:p w:rsidR="00854E9D" w:rsidRDefault="00854E9D" w:rsidP="00770904">
      <w:pPr>
        <w:pStyle w:val="FootnoteText"/>
      </w:pPr>
      <w:r>
        <w:rPr>
          <w:rStyle w:val="FootnoteReference"/>
        </w:rPr>
        <w:footnoteRef/>
      </w:r>
      <w:r>
        <w:t xml:space="preserve"> Cf. Commission interpretative communication on concessions under Community law, OJ C 121 of 29.4.2000, page 6.</w:t>
      </w:r>
    </w:p>
  </w:footnote>
  <w:footnote w:id="28">
    <w:p w:rsidR="00854E9D" w:rsidRDefault="00854E9D" w:rsidP="00770904">
      <w:pPr>
        <w:pStyle w:val="FootnoteText"/>
      </w:pPr>
      <w:r>
        <w:rPr>
          <w:rStyle w:val="FootnoteReference"/>
        </w:rPr>
        <w:footnoteRef/>
      </w:r>
      <w:r>
        <w:t xml:space="preserve"> </w:t>
      </w:r>
      <w:r w:rsidRPr="00AE34EC">
        <w:t xml:space="preserve">Case C-324/98, </w:t>
      </w:r>
      <w:r w:rsidRPr="00CA5FC5">
        <w:rPr>
          <w:i/>
          <w:iCs/>
        </w:rPr>
        <w:t>Telaustria</w:t>
      </w:r>
      <w:r w:rsidRPr="00AE34EC">
        <w:t>, ECR 2000, I-10745, paragraphs 60 and 61</w:t>
      </w:r>
      <w:r>
        <w:t>.</w:t>
      </w:r>
    </w:p>
  </w:footnote>
  <w:footnote w:id="29">
    <w:p w:rsidR="00854E9D" w:rsidRDefault="00854E9D" w:rsidP="00770904">
      <w:pPr>
        <w:pStyle w:val="FootnoteText"/>
      </w:pPr>
      <w:r>
        <w:rPr>
          <w:rStyle w:val="FootnoteReference"/>
        </w:rPr>
        <w:footnoteRef/>
      </w:r>
      <w:r>
        <w:t xml:space="preserve"> </w:t>
      </w:r>
      <w:r w:rsidRPr="000B0081">
        <w:t xml:space="preserve">Case C-324/98, </w:t>
      </w:r>
      <w:r w:rsidRPr="00CA5FC5">
        <w:rPr>
          <w:i/>
          <w:iCs/>
        </w:rPr>
        <w:t>Telaustria</w:t>
      </w:r>
      <w:r w:rsidRPr="000B0081">
        <w:t>, paragraph 62</w:t>
      </w:r>
      <w:r>
        <w:t xml:space="preserve">; Case C-458/03, </w:t>
      </w:r>
      <w:r w:rsidRPr="00CA5FC5">
        <w:rPr>
          <w:i/>
          <w:iCs/>
        </w:rPr>
        <w:t>Parking Brixen</w:t>
      </w:r>
      <w:r>
        <w:t>, paragraph 49..</w:t>
      </w:r>
    </w:p>
  </w:footnote>
  <w:footnote w:id="30">
    <w:p w:rsidR="00854E9D" w:rsidRDefault="00854E9D" w:rsidP="00770904">
      <w:pPr>
        <w:pStyle w:val="FootnoteText"/>
      </w:pPr>
      <w:r>
        <w:rPr>
          <w:rStyle w:val="FootnoteReference"/>
        </w:rPr>
        <w:footnoteRef/>
      </w:r>
      <w:r>
        <w:t xml:space="preserve"> Case </w:t>
      </w:r>
      <w:r w:rsidRPr="00E5678E">
        <w:t>C-206/08</w:t>
      </w:r>
      <w:r>
        <w:t xml:space="preserve">, </w:t>
      </w:r>
      <w:r w:rsidRPr="00CA5FC5">
        <w:rPr>
          <w:i/>
          <w:iCs/>
        </w:rPr>
        <w:t>Wasser- und Abwasserzweckverband Gotha und Landkreisgemeinden (WAZV Gotha) v Eurawasser Aufbereitungs- und Entsorgungsgesellschaft GmbH.</w:t>
      </w:r>
    </w:p>
  </w:footnote>
  <w:footnote w:id="31">
    <w:p w:rsidR="00854E9D" w:rsidRDefault="00854E9D" w:rsidP="00770904">
      <w:pPr>
        <w:pStyle w:val="FootnoteText"/>
      </w:pPr>
      <w:r>
        <w:rPr>
          <w:rStyle w:val="FootnoteReference"/>
        </w:rPr>
        <w:footnoteRef/>
      </w:r>
      <w:r>
        <w:t xml:space="preserve"> Refer to the Grid available in the</w:t>
      </w:r>
      <w:r w:rsidRPr="001B0C1C">
        <w:t xml:space="preserve"> </w:t>
      </w:r>
      <w:r>
        <w:t>Subsidiarity Monitoring Network section of the CoR’s website</w:t>
      </w:r>
    </w:p>
    <w:p w:rsidR="00854E9D" w:rsidRDefault="00854E9D" w:rsidP="00770904">
      <w:pPr>
        <w:pStyle w:val="FootnoteText"/>
      </w:pPr>
      <w:hyperlink r:id="rId1" w:history="1">
        <w:r w:rsidRPr="00BA763B">
          <w:rPr>
            <w:rStyle w:val="Hyperlink"/>
          </w:rPr>
          <w:t>http://portal.cor.europa.eu/subsidiarity/SiteCollectionDocuments/GridFinalB_EN.doc</w:t>
        </w:r>
      </w:hyperlink>
    </w:p>
  </w:footnote>
  <w:footnote w:id="32">
    <w:p w:rsidR="00854E9D" w:rsidRDefault="00854E9D" w:rsidP="00770904">
      <w:pPr>
        <w:pStyle w:val="FootnoteText"/>
      </w:pPr>
      <w:r>
        <w:rPr>
          <w:rStyle w:val="FootnoteReference"/>
        </w:rPr>
        <w:footnoteRef/>
      </w:r>
      <w:r>
        <w:t xml:space="preserve"> See Case C-19/00 </w:t>
      </w:r>
      <w:r w:rsidRPr="00CA5FC5">
        <w:rPr>
          <w:i/>
          <w:iCs/>
        </w:rPr>
        <w:t>SIAC Construction Ltd v. County Council of the Count of Mayo</w:t>
      </w:r>
      <w:r>
        <w:t xml:space="preserve"> [2001] ECR I-07725, paragraph 32 (‘[T]he purpose of coordinating at Community level the procedures for the award of public contracts is to eliminate barriers to the freedom to provide services and goods and therefore to protect the interests of traders established in a Member State who wish to offer goods or services to contracting authorities established in another Member State’).</w:t>
      </w:r>
    </w:p>
  </w:footnote>
  <w:footnote w:id="33">
    <w:p w:rsidR="00854E9D" w:rsidRDefault="00854E9D" w:rsidP="00770904">
      <w:pPr>
        <w:pStyle w:val="FootnoteText"/>
      </w:pPr>
    </w:p>
  </w:footnote>
  <w:footnote w:id="34">
    <w:p w:rsidR="00854E9D" w:rsidRDefault="00854E9D" w:rsidP="00770904">
      <w:pPr>
        <w:pStyle w:val="FootnoteText"/>
      </w:pPr>
      <w:r>
        <w:rPr>
          <w:rStyle w:val="FootnoteReference"/>
        </w:rPr>
        <w:footnoteRef/>
      </w:r>
      <w:r>
        <w:t xml:space="preserve"> For a detailed analysis of Member States’ competence in regulating ‘what to buy’, see </w:t>
      </w:r>
      <w:r>
        <w:rPr>
          <w:i/>
          <w:iCs/>
        </w:rPr>
        <w:t xml:space="preserve">‘Legal Briefing, </w:t>
      </w:r>
      <w:r w:rsidRPr="00C320FE">
        <w:rPr>
          <w:i/>
          <w:iCs/>
        </w:rPr>
        <w:t xml:space="preserve">Briefing No. 2: Horizontal Objectives in </w:t>
      </w:r>
      <w:r>
        <w:rPr>
          <w:i/>
          <w:iCs/>
        </w:rPr>
        <w:t>Public Procurement’</w:t>
      </w:r>
      <w:r>
        <w:t>, ClientEarth, 2011.</w:t>
      </w:r>
    </w:p>
  </w:footnote>
  <w:footnote w:id="35">
    <w:p w:rsidR="00854E9D" w:rsidRDefault="00854E9D" w:rsidP="00770904">
      <w:pPr>
        <w:pStyle w:val="FootnoteText"/>
      </w:pPr>
      <w:r>
        <w:rPr>
          <w:rStyle w:val="FootnoteReference"/>
        </w:rPr>
        <w:footnoteRef/>
      </w:r>
      <w:r>
        <w:t xml:space="preserve"> </w:t>
      </w:r>
      <w:r w:rsidRPr="00C320FE">
        <w:t xml:space="preserve">Case 31/87 </w:t>
      </w:r>
      <w:r w:rsidRPr="00CA5FC5">
        <w:rPr>
          <w:i/>
          <w:iCs/>
        </w:rPr>
        <w:t>Gebroeders Beentjes BV v. Netherlands</w:t>
      </w:r>
      <w:r>
        <w:t>.</w:t>
      </w:r>
    </w:p>
  </w:footnote>
  <w:footnote w:id="36">
    <w:p w:rsidR="00854E9D" w:rsidRDefault="00854E9D" w:rsidP="00770904">
      <w:pPr>
        <w:pStyle w:val="FootnoteText"/>
      </w:pPr>
      <w:r>
        <w:rPr>
          <w:rStyle w:val="FootnoteReference"/>
        </w:rPr>
        <w:footnoteRef/>
      </w:r>
      <w:r>
        <w:t xml:space="preserve"> </w:t>
      </w:r>
      <w:r w:rsidRPr="00C320FE">
        <w:t>Case C-513</w:t>
      </w:r>
      <w:r>
        <w:t xml:space="preserve">/99 </w:t>
      </w:r>
      <w:r w:rsidRPr="00CA5FC5">
        <w:rPr>
          <w:i/>
          <w:iCs/>
        </w:rPr>
        <w:t>Concordia Bus Finland Oy v Helsingin Kaupunki and Hkl-Bussiliikenne</w:t>
      </w:r>
      <w:r>
        <w:t>.</w:t>
      </w:r>
    </w:p>
  </w:footnote>
  <w:footnote w:id="37">
    <w:p w:rsidR="00854E9D" w:rsidRDefault="00854E9D" w:rsidP="00770904">
      <w:pPr>
        <w:pStyle w:val="FootnoteText"/>
      </w:pPr>
      <w:r>
        <w:rPr>
          <w:rStyle w:val="FootnoteReference"/>
        </w:rPr>
        <w:footnoteRef/>
      </w:r>
      <w:r>
        <w:t xml:space="preserve"> </w:t>
      </w:r>
      <w:r w:rsidRPr="003B6607">
        <w:t xml:space="preserve">Case C-448/01 </w:t>
      </w:r>
      <w:r w:rsidRPr="00CA5FC5">
        <w:rPr>
          <w:i/>
          <w:iCs/>
        </w:rPr>
        <w:t>EVN AG and Another v Austria</w:t>
      </w:r>
      <w:r w:rsidRPr="003B6607">
        <w:t xml:space="preserve"> (Stadtwerke Klagenfu</w:t>
      </w:r>
      <w:r>
        <w:t>rt AG and Another, intervening).</w:t>
      </w:r>
    </w:p>
  </w:footnote>
  <w:footnote w:id="38">
    <w:p w:rsidR="00854E9D" w:rsidRDefault="00854E9D" w:rsidP="00770904">
      <w:pPr>
        <w:pStyle w:val="FootnoteText"/>
      </w:pPr>
      <w:r>
        <w:rPr>
          <w:rStyle w:val="FootnoteReference"/>
        </w:rPr>
        <w:footnoteRef/>
      </w:r>
      <w:r>
        <w:t xml:space="preserve"> See footnoe 22.</w:t>
      </w:r>
    </w:p>
  </w:footnote>
  <w:footnote w:id="39">
    <w:p w:rsidR="00854E9D" w:rsidRDefault="00854E9D" w:rsidP="00770904">
      <w:pPr>
        <w:pStyle w:val="FootnoteText"/>
      </w:pPr>
      <w:r>
        <w:rPr>
          <w:rStyle w:val="FootnoteReference"/>
        </w:rPr>
        <w:footnoteRef/>
      </w:r>
      <w:r>
        <w:t xml:space="preserve"> </w:t>
      </w:r>
      <w:r w:rsidRPr="009C03DA">
        <w:t xml:space="preserve">European Centre of Employers and Enterprises providing </w:t>
      </w:r>
      <w:r>
        <w:t>p</w:t>
      </w:r>
      <w:r w:rsidRPr="009C03DA">
        <w:t>ublic services</w:t>
      </w:r>
      <w:r>
        <w:t xml:space="preserve"> is o</w:t>
      </w:r>
      <w:r w:rsidRPr="009C03DA">
        <w:t>ne of the three General Cross</w:t>
      </w:r>
      <w:r>
        <w:t>-</w:t>
      </w:r>
      <w:r w:rsidRPr="009C03DA">
        <w:t xml:space="preserve"> Industry Social Partners</w:t>
      </w:r>
      <w:r>
        <w:t xml:space="preserve"> recognised by the Commission, and comprises </w:t>
      </w:r>
      <w:r w:rsidRPr="009C03DA">
        <w:t>enterprises and associations from across Europe</w:t>
      </w:r>
      <w:r>
        <w:t>,</w:t>
      </w:r>
      <w:r w:rsidRPr="009C03DA">
        <w:t xml:space="preserve"> public and private at national, regional and local level</w:t>
      </w:r>
      <w:r>
        <w:t>.</w:t>
      </w:r>
    </w:p>
  </w:footnote>
  <w:footnote w:id="40">
    <w:p w:rsidR="00854E9D" w:rsidRDefault="00854E9D" w:rsidP="00770904">
      <w:pPr>
        <w:pStyle w:val="FootnoteText"/>
      </w:pPr>
      <w:r>
        <w:rPr>
          <w:rStyle w:val="FootnoteReference"/>
        </w:rPr>
        <w:footnoteRef/>
      </w:r>
      <w:r>
        <w:t xml:space="preserve"> See footnote </w:t>
      </w:r>
      <w:r>
        <w:fldChar w:fldCharType="begin"/>
      </w:r>
      <w:r>
        <w:instrText xml:space="preserve"> NOTEREF _Ref311486695 \h _</w:instrText>
      </w:r>
      <w:r>
        <w:fldChar w:fldCharType="separate"/>
      </w:r>
      <w:r>
        <w:t>11</w:t>
      </w:r>
      <w:r>
        <w:fldChar w:fldCharType="end"/>
      </w:r>
      <w:r>
        <w:t>.</w:t>
      </w:r>
    </w:p>
  </w:footnote>
  <w:footnote w:id="41">
    <w:p w:rsidR="00854E9D" w:rsidRDefault="00854E9D" w:rsidP="00770904">
      <w:pPr>
        <w:pStyle w:val="FootnoteText"/>
      </w:pPr>
      <w:r>
        <w:rPr>
          <w:rStyle w:val="FootnoteReference"/>
        </w:rPr>
        <w:footnoteRef/>
      </w:r>
      <w:r>
        <w:t xml:space="preserve"> View supported by the CJEU as well: in the Case C-195/05, </w:t>
      </w:r>
      <w:r w:rsidRPr="00CA5FC5">
        <w:rPr>
          <w:i/>
          <w:iCs/>
        </w:rPr>
        <w:t>Commission v Finland</w:t>
      </w:r>
      <w:r>
        <w:t xml:space="preserve">, </w:t>
      </w:r>
      <w:r w:rsidRPr="00B46643">
        <w:t xml:space="preserve">Advocate General Sharpston went on to question the benefit of advertising below-threshold contracts and argued that the degree of publicity required for such contracts </w:t>
      </w:r>
      <w:r w:rsidRPr="006843D5">
        <w:t>should</w:t>
      </w:r>
      <w:r w:rsidRPr="00B46643">
        <w:t xml:space="preserve"> be a matter of national law rather than EC law.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9D" w:rsidRDefault="00854E9D" w:rsidP="00C502BC">
    <w:pPr>
      <w:pStyle w:val="Header"/>
      <w:tabs>
        <w:tab w:val="left" w:pos="296"/>
        <w:tab w:val="center" w:pos="4153"/>
      </w:tabs>
      <w:jc w:val="left"/>
    </w:pPr>
    <w:r>
      <w:tab/>
    </w:r>
    <w:r>
      <w:tab/>
    </w:r>
  </w:p>
  <w:p w:rsidR="00854E9D" w:rsidRDefault="00854E9D" w:rsidP="00125128">
    <w:pPr>
      <w:pStyle w:val="Header"/>
    </w:pPr>
  </w:p>
  <w:p w:rsidR="00854E9D" w:rsidRDefault="00854E9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9D" w:rsidRDefault="00854E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85E38C8"/>
    <w:multiLevelType w:val="hybridMultilevel"/>
    <w:tmpl w:val="5C0EEB40"/>
    <w:lvl w:ilvl="0" w:tplc="2C46CFA4">
      <w:start w:val="1"/>
      <w:numFmt w:val="decimal"/>
      <w:pStyle w:val="Mainbullets"/>
      <w:lvlText w:val="%1)"/>
      <w:lvlJc w:val="left"/>
      <w:pPr>
        <w:ind w:left="360" w:hanging="360"/>
      </w:pPr>
      <w:rPr>
        <w:rFonts w:ascii="Times New Roman" w:eastAsia="Times New Roman" w:hAnsi="Times New Roman" w:cs="Times New Roman" w:hint="default"/>
        <w:b w:val="0"/>
        <w:bCs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901910"/>
    <w:multiLevelType w:val="hybridMultilevel"/>
    <w:tmpl w:val="B5B80C0A"/>
    <w:lvl w:ilvl="0" w:tplc="9398C088">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C35AE0"/>
    <w:multiLevelType w:val="hybridMultilevel"/>
    <w:tmpl w:val="B5B80C0A"/>
    <w:lvl w:ilvl="0" w:tplc="9398C088">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E73001"/>
    <w:multiLevelType w:val="hybridMultilevel"/>
    <w:tmpl w:val="B5B80C0A"/>
    <w:lvl w:ilvl="0" w:tplc="9398C088">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7E3A3D"/>
    <w:multiLevelType w:val="hybridMultilevel"/>
    <w:tmpl w:val="F910A2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70F49F9"/>
    <w:multiLevelType w:val="hybridMultilevel"/>
    <w:tmpl w:val="B5B80C0A"/>
    <w:lvl w:ilvl="0" w:tplc="9398C088">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43336C"/>
    <w:multiLevelType w:val="hybridMultilevel"/>
    <w:tmpl w:val="C2CCB6D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1A9863CA"/>
    <w:multiLevelType w:val="multilevel"/>
    <w:tmpl w:val="956263BA"/>
    <w:lvl w:ilvl="0">
      <w:start w:val="1"/>
      <w:numFmt w:val="decimal"/>
      <w:pStyle w:val="Heading1"/>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A9C121B"/>
    <w:multiLevelType w:val="hybridMultilevel"/>
    <w:tmpl w:val="B5B80C0A"/>
    <w:lvl w:ilvl="0" w:tplc="9398C088">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1C4371"/>
    <w:multiLevelType w:val="hybridMultilevel"/>
    <w:tmpl w:val="83EEC17C"/>
    <w:lvl w:ilvl="0" w:tplc="BF4C560C">
      <w:start w:val="1"/>
      <w:numFmt w:val="lowerLetter"/>
      <w:pStyle w:val="Subbullets-linear"/>
      <w:lvlText w:val="%1)"/>
      <w:lvlJc w:val="left"/>
      <w:pPr>
        <w:ind w:left="1066" w:hanging="360"/>
      </w:pPr>
      <w:rPr>
        <w:rFonts w:cs="Times New Roman" w:hint="default"/>
      </w:rPr>
    </w:lvl>
    <w:lvl w:ilvl="1" w:tplc="144AC6A8">
      <w:start w:val="1"/>
      <w:numFmt w:val="lowerLetter"/>
      <w:lvlText w:val="%2)"/>
      <w:lvlJc w:val="left"/>
      <w:pPr>
        <w:ind w:left="1786" w:hanging="360"/>
      </w:pPr>
      <w:rPr>
        <w:rFonts w:ascii="Times New Roman" w:eastAsia="Times New Roman" w:hAnsi="Times New Roman"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11">
    <w:nsid w:val="28225232"/>
    <w:multiLevelType w:val="hybridMultilevel"/>
    <w:tmpl w:val="B5B80C0A"/>
    <w:lvl w:ilvl="0" w:tplc="9398C088">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CB1BA2"/>
    <w:multiLevelType w:val="hybridMultilevel"/>
    <w:tmpl w:val="E9423142"/>
    <w:lvl w:ilvl="0" w:tplc="042671F8">
      <w:start w:val="1"/>
      <w:numFmt w:val="bullet"/>
      <w:pStyle w:val="Subbullets-notlinear"/>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DFE37BF"/>
    <w:multiLevelType w:val="hybridMultilevel"/>
    <w:tmpl w:val="B5B80C0A"/>
    <w:lvl w:ilvl="0" w:tplc="9398C088">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737F40"/>
    <w:multiLevelType w:val="hybridMultilevel"/>
    <w:tmpl w:val="2B7EE29E"/>
    <w:lvl w:ilvl="0" w:tplc="5C2EC120">
      <w:start w:val="1"/>
      <w:numFmt w:val="bullet"/>
      <w:pStyle w:val="Aufzhlung"/>
      <w:lvlText w:val=""/>
      <w:lvlJc w:val="left"/>
      <w:pPr>
        <w:tabs>
          <w:tab w:val="num" w:pos="1296"/>
        </w:tabs>
        <w:ind w:left="1276" w:hanging="340"/>
      </w:pPr>
      <w:rPr>
        <w:rFonts w:ascii="Webdings" w:hAnsi="Webdings" w:hint="default"/>
        <w:color w:val="0060A9"/>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5826953"/>
    <w:multiLevelType w:val="hybridMultilevel"/>
    <w:tmpl w:val="F3D0F29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882054B"/>
    <w:multiLevelType w:val="multilevel"/>
    <w:tmpl w:val="0220C4BC"/>
    <w:lvl w:ilvl="0">
      <w:start w:val="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lowerLetter"/>
      <w:pStyle w:val="Heading3"/>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17">
    <w:nsid w:val="3E421EA5"/>
    <w:multiLevelType w:val="hybridMultilevel"/>
    <w:tmpl w:val="C0CAB670"/>
    <w:lvl w:ilvl="0" w:tplc="80829B12">
      <w:start w:val="3"/>
      <w:numFmt w:val="bullet"/>
      <w:lvlText w:val="-"/>
      <w:lvlJc w:val="left"/>
      <w:pPr>
        <w:ind w:left="1426" w:hanging="360"/>
      </w:pPr>
      <w:rPr>
        <w:rFonts w:ascii="Times" w:eastAsia="Times New Roman" w:hAnsi="Times" w:hint="default"/>
      </w:rPr>
    </w:lvl>
    <w:lvl w:ilvl="1" w:tplc="04100003" w:tentative="1">
      <w:start w:val="1"/>
      <w:numFmt w:val="bullet"/>
      <w:lvlText w:val="o"/>
      <w:lvlJc w:val="left"/>
      <w:pPr>
        <w:ind w:left="2146" w:hanging="360"/>
      </w:pPr>
      <w:rPr>
        <w:rFonts w:ascii="Courier New" w:hAnsi="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18">
    <w:nsid w:val="407B7078"/>
    <w:multiLevelType w:val="hybridMultilevel"/>
    <w:tmpl w:val="C0504B20"/>
    <w:lvl w:ilvl="0" w:tplc="7EE0ED98">
      <w:start w:val="1"/>
      <w:numFmt w:val="bullet"/>
      <w:pStyle w:val="elencopuntatosimboli"/>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2D77824"/>
    <w:multiLevelType w:val="hybridMultilevel"/>
    <w:tmpl w:val="83560FE0"/>
    <w:lvl w:ilvl="0" w:tplc="43709CA8">
      <w:start w:val="1"/>
      <w:numFmt w:val="lowerLetter"/>
      <w:pStyle w:val="elencopuntatolettere"/>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D31149E"/>
    <w:multiLevelType w:val="hybridMultilevel"/>
    <w:tmpl w:val="7EFADD50"/>
    <w:lvl w:ilvl="0" w:tplc="C17077DE">
      <w:start w:val="1"/>
      <w:numFmt w:val="lowerLetter"/>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54161ED"/>
    <w:multiLevelType w:val="hybridMultilevel"/>
    <w:tmpl w:val="0C42BBD8"/>
    <w:lvl w:ilvl="0" w:tplc="C90EA1A0">
      <w:numFmt w:val="bullet"/>
      <w:lvlText w:val="-"/>
      <w:lvlJc w:val="left"/>
      <w:pPr>
        <w:ind w:left="1066" w:hanging="360"/>
      </w:pPr>
      <w:rPr>
        <w:rFonts w:ascii="Times" w:eastAsia="Times New Roman" w:hAnsi="Times" w:hint="default"/>
      </w:rPr>
    </w:lvl>
    <w:lvl w:ilvl="1" w:tplc="04100003" w:tentative="1">
      <w:start w:val="1"/>
      <w:numFmt w:val="bullet"/>
      <w:lvlText w:val="o"/>
      <w:lvlJc w:val="left"/>
      <w:pPr>
        <w:ind w:left="1786" w:hanging="360"/>
      </w:pPr>
      <w:rPr>
        <w:rFonts w:ascii="Courier New" w:hAnsi="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2">
    <w:nsid w:val="5BF51D91"/>
    <w:multiLevelType w:val="hybridMultilevel"/>
    <w:tmpl w:val="B5B80C0A"/>
    <w:lvl w:ilvl="0" w:tplc="9398C088">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616047"/>
    <w:multiLevelType w:val="hybridMultilevel"/>
    <w:tmpl w:val="4CDE6DD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B02781F"/>
    <w:multiLevelType w:val="hybridMultilevel"/>
    <w:tmpl w:val="60A4EBB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8A363F6"/>
    <w:multiLevelType w:val="hybridMultilevel"/>
    <w:tmpl w:val="B5B80C0A"/>
    <w:lvl w:ilvl="0" w:tplc="9398C088">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B802FBD"/>
    <w:multiLevelType w:val="multilevel"/>
    <w:tmpl w:val="28A0FF80"/>
    <w:lvl w:ilvl="0">
      <w:start w:val="1"/>
      <w:numFmt w:val="decimal"/>
      <w:lvlText w:val="%1)"/>
      <w:lvlJc w:val="left"/>
      <w:pPr>
        <w:ind w:left="360" w:hanging="360"/>
      </w:pPr>
      <w:rPr>
        <w:rFonts w:cs="Times New Roman"/>
      </w:rPr>
    </w:lvl>
    <w:lvl w:ilvl="1">
      <w:start w:val="1"/>
      <w:numFmt w:val="lowerLetter"/>
      <w:pStyle w:val="elencopuntatopilivelli"/>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FF81181"/>
    <w:multiLevelType w:val="hybridMultilevel"/>
    <w:tmpl w:val="A2AAC224"/>
    <w:lvl w:ilvl="0" w:tplc="80829B12">
      <w:start w:val="3"/>
      <w:numFmt w:val="bullet"/>
      <w:lvlText w:val="-"/>
      <w:lvlJc w:val="left"/>
      <w:pPr>
        <w:ind w:left="720" w:hanging="360"/>
      </w:pPr>
      <w:rPr>
        <w:rFonts w:ascii="Times" w:eastAsia="Times New Roman" w:hAnsi="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8"/>
  </w:num>
  <w:num w:numId="4">
    <w:abstractNumId w:val="26"/>
  </w:num>
  <w:num w:numId="5">
    <w:abstractNumId w:val="10"/>
  </w:num>
  <w:num w:numId="6">
    <w:abstractNumId w:val="1"/>
  </w:num>
  <w:num w:numId="7">
    <w:abstractNumId w:val="12"/>
  </w:num>
  <w:num w:numId="8">
    <w:abstractNumId w:val="14"/>
  </w:num>
  <w:num w:numId="9">
    <w:abstractNumId w:val="16"/>
  </w:num>
  <w:num w:numId="10">
    <w:abstractNumId w:val="5"/>
  </w:num>
  <w:num w:numId="11">
    <w:abstractNumId w:val="7"/>
  </w:num>
  <w:num w:numId="12">
    <w:abstractNumId w:val="11"/>
  </w:num>
  <w:num w:numId="13">
    <w:abstractNumId w:val="6"/>
  </w:num>
  <w:num w:numId="14">
    <w:abstractNumId w:val="3"/>
  </w:num>
  <w:num w:numId="15">
    <w:abstractNumId w:val="4"/>
  </w:num>
  <w:num w:numId="16">
    <w:abstractNumId w:val="22"/>
  </w:num>
  <w:num w:numId="17">
    <w:abstractNumId w:val="25"/>
  </w:num>
  <w:num w:numId="18">
    <w:abstractNumId w:val="13"/>
  </w:num>
  <w:num w:numId="19">
    <w:abstractNumId w:val="27"/>
  </w:num>
  <w:num w:numId="20">
    <w:abstractNumId w:val="23"/>
  </w:num>
  <w:num w:numId="21">
    <w:abstractNumId w:val="20"/>
  </w:num>
  <w:num w:numId="22">
    <w:abstractNumId w:val="15"/>
  </w:num>
  <w:num w:numId="23">
    <w:abstractNumId w:val="2"/>
  </w:num>
  <w:num w:numId="24">
    <w:abstractNumId w:val="17"/>
  </w:num>
  <w:num w:numId="25">
    <w:abstractNumId w:val="21"/>
  </w:num>
  <w:num w:numId="26">
    <w:abstractNumId w:val="16"/>
  </w:num>
  <w:num w:numId="27">
    <w:abstractNumId w:val="16"/>
  </w:num>
  <w:num w:numId="28">
    <w:abstractNumId w:val="9"/>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6"/>
  <w:hyphenationZone w:val="283"/>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3FF"/>
    <w:rsid w:val="00000CC7"/>
    <w:rsid w:val="0000107E"/>
    <w:rsid w:val="00001500"/>
    <w:rsid w:val="00001BC9"/>
    <w:rsid w:val="000034FF"/>
    <w:rsid w:val="00003DA1"/>
    <w:rsid w:val="00003E1E"/>
    <w:rsid w:val="0000408D"/>
    <w:rsid w:val="00004460"/>
    <w:rsid w:val="000045AF"/>
    <w:rsid w:val="00005BD4"/>
    <w:rsid w:val="0000678E"/>
    <w:rsid w:val="0000759D"/>
    <w:rsid w:val="000077D3"/>
    <w:rsid w:val="0001037D"/>
    <w:rsid w:val="000117CB"/>
    <w:rsid w:val="0001226A"/>
    <w:rsid w:val="000129A8"/>
    <w:rsid w:val="00012A36"/>
    <w:rsid w:val="00012B9D"/>
    <w:rsid w:val="00013EBF"/>
    <w:rsid w:val="000155FD"/>
    <w:rsid w:val="00015767"/>
    <w:rsid w:val="00015AB7"/>
    <w:rsid w:val="00015D17"/>
    <w:rsid w:val="0001622A"/>
    <w:rsid w:val="00016E3F"/>
    <w:rsid w:val="00016FD7"/>
    <w:rsid w:val="00017794"/>
    <w:rsid w:val="000177B8"/>
    <w:rsid w:val="00017EE4"/>
    <w:rsid w:val="0002052F"/>
    <w:rsid w:val="0002193A"/>
    <w:rsid w:val="00022314"/>
    <w:rsid w:val="00022823"/>
    <w:rsid w:val="000248AC"/>
    <w:rsid w:val="00025C22"/>
    <w:rsid w:val="00025C59"/>
    <w:rsid w:val="00026028"/>
    <w:rsid w:val="0002688E"/>
    <w:rsid w:val="00026E83"/>
    <w:rsid w:val="00030554"/>
    <w:rsid w:val="00030ADA"/>
    <w:rsid w:val="00030F8A"/>
    <w:rsid w:val="00031A7A"/>
    <w:rsid w:val="00031EEE"/>
    <w:rsid w:val="0003276C"/>
    <w:rsid w:val="00032A3D"/>
    <w:rsid w:val="000353AB"/>
    <w:rsid w:val="000360C6"/>
    <w:rsid w:val="00036678"/>
    <w:rsid w:val="00036B81"/>
    <w:rsid w:val="00036DD8"/>
    <w:rsid w:val="00036F5F"/>
    <w:rsid w:val="000376DD"/>
    <w:rsid w:val="00042CF6"/>
    <w:rsid w:val="00042F11"/>
    <w:rsid w:val="00043FAF"/>
    <w:rsid w:val="00044E6E"/>
    <w:rsid w:val="00045982"/>
    <w:rsid w:val="0004620D"/>
    <w:rsid w:val="000472C9"/>
    <w:rsid w:val="00050095"/>
    <w:rsid w:val="000503C1"/>
    <w:rsid w:val="000510DB"/>
    <w:rsid w:val="0005126C"/>
    <w:rsid w:val="00051F38"/>
    <w:rsid w:val="00052DEE"/>
    <w:rsid w:val="00053349"/>
    <w:rsid w:val="00053739"/>
    <w:rsid w:val="000542D2"/>
    <w:rsid w:val="0005482F"/>
    <w:rsid w:val="00056890"/>
    <w:rsid w:val="00056FF4"/>
    <w:rsid w:val="00057183"/>
    <w:rsid w:val="000572A4"/>
    <w:rsid w:val="00057994"/>
    <w:rsid w:val="00057ABA"/>
    <w:rsid w:val="00057DDB"/>
    <w:rsid w:val="00060198"/>
    <w:rsid w:val="00060857"/>
    <w:rsid w:val="0006189F"/>
    <w:rsid w:val="000630DD"/>
    <w:rsid w:val="00063B1B"/>
    <w:rsid w:val="00063C15"/>
    <w:rsid w:val="00064130"/>
    <w:rsid w:val="000646F6"/>
    <w:rsid w:val="00066694"/>
    <w:rsid w:val="00066C05"/>
    <w:rsid w:val="0006703F"/>
    <w:rsid w:val="00067B4E"/>
    <w:rsid w:val="00067DC0"/>
    <w:rsid w:val="000703BD"/>
    <w:rsid w:val="00070FEA"/>
    <w:rsid w:val="00071C5A"/>
    <w:rsid w:val="0007265F"/>
    <w:rsid w:val="00072679"/>
    <w:rsid w:val="00073869"/>
    <w:rsid w:val="00073A2C"/>
    <w:rsid w:val="0007430D"/>
    <w:rsid w:val="00074C2E"/>
    <w:rsid w:val="0007543D"/>
    <w:rsid w:val="00075903"/>
    <w:rsid w:val="000765C7"/>
    <w:rsid w:val="000770A1"/>
    <w:rsid w:val="0007723C"/>
    <w:rsid w:val="0007730D"/>
    <w:rsid w:val="000774E7"/>
    <w:rsid w:val="00077564"/>
    <w:rsid w:val="00077C24"/>
    <w:rsid w:val="0008028C"/>
    <w:rsid w:val="0008095A"/>
    <w:rsid w:val="000815FB"/>
    <w:rsid w:val="00081773"/>
    <w:rsid w:val="00081FAF"/>
    <w:rsid w:val="00085418"/>
    <w:rsid w:val="00085527"/>
    <w:rsid w:val="00085659"/>
    <w:rsid w:val="0008676B"/>
    <w:rsid w:val="00086906"/>
    <w:rsid w:val="00086B37"/>
    <w:rsid w:val="00087783"/>
    <w:rsid w:val="0008784C"/>
    <w:rsid w:val="000879D9"/>
    <w:rsid w:val="00087B64"/>
    <w:rsid w:val="00087F58"/>
    <w:rsid w:val="000910A1"/>
    <w:rsid w:val="000911AC"/>
    <w:rsid w:val="00094369"/>
    <w:rsid w:val="00094809"/>
    <w:rsid w:val="000957EC"/>
    <w:rsid w:val="00095D8C"/>
    <w:rsid w:val="00096804"/>
    <w:rsid w:val="00096C80"/>
    <w:rsid w:val="0009718C"/>
    <w:rsid w:val="00097273"/>
    <w:rsid w:val="00097284"/>
    <w:rsid w:val="00097289"/>
    <w:rsid w:val="000972BF"/>
    <w:rsid w:val="00097D9F"/>
    <w:rsid w:val="00097E99"/>
    <w:rsid w:val="000A0555"/>
    <w:rsid w:val="000A0ABB"/>
    <w:rsid w:val="000A0C4D"/>
    <w:rsid w:val="000A140A"/>
    <w:rsid w:val="000A147C"/>
    <w:rsid w:val="000A16B9"/>
    <w:rsid w:val="000A16BD"/>
    <w:rsid w:val="000A2375"/>
    <w:rsid w:val="000A350D"/>
    <w:rsid w:val="000A422F"/>
    <w:rsid w:val="000A4D40"/>
    <w:rsid w:val="000A6F50"/>
    <w:rsid w:val="000A7063"/>
    <w:rsid w:val="000B0081"/>
    <w:rsid w:val="000B2C7E"/>
    <w:rsid w:val="000B3E17"/>
    <w:rsid w:val="000B41B1"/>
    <w:rsid w:val="000B46BA"/>
    <w:rsid w:val="000B476D"/>
    <w:rsid w:val="000B53AD"/>
    <w:rsid w:val="000B6353"/>
    <w:rsid w:val="000B6547"/>
    <w:rsid w:val="000B7209"/>
    <w:rsid w:val="000B73DD"/>
    <w:rsid w:val="000C00C6"/>
    <w:rsid w:val="000C0782"/>
    <w:rsid w:val="000C0839"/>
    <w:rsid w:val="000C107D"/>
    <w:rsid w:val="000C1670"/>
    <w:rsid w:val="000C2641"/>
    <w:rsid w:val="000C2651"/>
    <w:rsid w:val="000C2BA1"/>
    <w:rsid w:val="000C32B9"/>
    <w:rsid w:val="000C355C"/>
    <w:rsid w:val="000C3D04"/>
    <w:rsid w:val="000C3E33"/>
    <w:rsid w:val="000C474F"/>
    <w:rsid w:val="000C7152"/>
    <w:rsid w:val="000C737D"/>
    <w:rsid w:val="000C7A5C"/>
    <w:rsid w:val="000D00F2"/>
    <w:rsid w:val="000D1702"/>
    <w:rsid w:val="000D1DD8"/>
    <w:rsid w:val="000D360A"/>
    <w:rsid w:val="000D36BE"/>
    <w:rsid w:val="000D3F04"/>
    <w:rsid w:val="000D47C8"/>
    <w:rsid w:val="000D4FFA"/>
    <w:rsid w:val="000D5341"/>
    <w:rsid w:val="000D54F8"/>
    <w:rsid w:val="000D5B35"/>
    <w:rsid w:val="000D60C9"/>
    <w:rsid w:val="000D7BAD"/>
    <w:rsid w:val="000D7C51"/>
    <w:rsid w:val="000D7D67"/>
    <w:rsid w:val="000E03E4"/>
    <w:rsid w:val="000E07E8"/>
    <w:rsid w:val="000E1112"/>
    <w:rsid w:val="000E2328"/>
    <w:rsid w:val="000E235A"/>
    <w:rsid w:val="000E27BC"/>
    <w:rsid w:val="000E344D"/>
    <w:rsid w:val="000E3772"/>
    <w:rsid w:val="000E43CE"/>
    <w:rsid w:val="000E56B0"/>
    <w:rsid w:val="000E6AE1"/>
    <w:rsid w:val="000F2E24"/>
    <w:rsid w:val="000F41DA"/>
    <w:rsid w:val="000F42FC"/>
    <w:rsid w:val="000F4694"/>
    <w:rsid w:val="000F4758"/>
    <w:rsid w:val="000F78A3"/>
    <w:rsid w:val="000F7F67"/>
    <w:rsid w:val="00100349"/>
    <w:rsid w:val="001017E8"/>
    <w:rsid w:val="0010302B"/>
    <w:rsid w:val="00103183"/>
    <w:rsid w:val="0010355D"/>
    <w:rsid w:val="00103B82"/>
    <w:rsid w:val="00103EB2"/>
    <w:rsid w:val="00104E79"/>
    <w:rsid w:val="001053CC"/>
    <w:rsid w:val="001067B7"/>
    <w:rsid w:val="001069A8"/>
    <w:rsid w:val="001108B8"/>
    <w:rsid w:val="00110FAF"/>
    <w:rsid w:val="00110FB1"/>
    <w:rsid w:val="00112436"/>
    <w:rsid w:val="00112863"/>
    <w:rsid w:val="00112AAF"/>
    <w:rsid w:val="00112B37"/>
    <w:rsid w:val="001134AF"/>
    <w:rsid w:val="00113C5E"/>
    <w:rsid w:val="00113DC0"/>
    <w:rsid w:val="0011482E"/>
    <w:rsid w:val="00117BB8"/>
    <w:rsid w:val="00117EDF"/>
    <w:rsid w:val="00121199"/>
    <w:rsid w:val="001216A7"/>
    <w:rsid w:val="0012297C"/>
    <w:rsid w:val="0012348F"/>
    <w:rsid w:val="00125128"/>
    <w:rsid w:val="00125969"/>
    <w:rsid w:val="00126394"/>
    <w:rsid w:val="00126519"/>
    <w:rsid w:val="001269E4"/>
    <w:rsid w:val="00126D8F"/>
    <w:rsid w:val="00127C2E"/>
    <w:rsid w:val="00130ED3"/>
    <w:rsid w:val="0013491D"/>
    <w:rsid w:val="001350F4"/>
    <w:rsid w:val="001361D3"/>
    <w:rsid w:val="00136532"/>
    <w:rsid w:val="00136B82"/>
    <w:rsid w:val="001406FA"/>
    <w:rsid w:val="00140B84"/>
    <w:rsid w:val="00140C9F"/>
    <w:rsid w:val="00140E38"/>
    <w:rsid w:val="00140FFA"/>
    <w:rsid w:val="00141299"/>
    <w:rsid w:val="001416FC"/>
    <w:rsid w:val="00141EE5"/>
    <w:rsid w:val="00142039"/>
    <w:rsid w:val="001423EC"/>
    <w:rsid w:val="00142545"/>
    <w:rsid w:val="001428E4"/>
    <w:rsid w:val="0014332D"/>
    <w:rsid w:val="00143431"/>
    <w:rsid w:val="0014397F"/>
    <w:rsid w:val="001451CE"/>
    <w:rsid w:val="00145287"/>
    <w:rsid w:val="00146828"/>
    <w:rsid w:val="00151516"/>
    <w:rsid w:val="0015207B"/>
    <w:rsid w:val="001521B1"/>
    <w:rsid w:val="00152696"/>
    <w:rsid w:val="00152853"/>
    <w:rsid w:val="00152AA0"/>
    <w:rsid w:val="00152AE5"/>
    <w:rsid w:val="00155290"/>
    <w:rsid w:val="00155BAF"/>
    <w:rsid w:val="00155EF9"/>
    <w:rsid w:val="00156030"/>
    <w:rsid w:val="00156A1E"/>
    <w:rsid w:val="00156D5D"/>
    <w:rsid w:val="00156EDB"/>
    <w:rsid w:val="0015702A"/>
    <w:rsid w:val="0015718F"/>
    <w:rsid w:val="001576EC"/>
    <w:rsid w:val="00160202"/>
    <w:rsid w:val="00160260"/>
    <w:rsid w:val="001604E0"/>
    <w:rsid w:val="0016175C"/>
    <w:rsid w:val="00161AEF"/>
    <w:rsid w:val="00162CDA"/>
    <w:rsid w:val="00162DF1"/>
    <w:rsid w:val="0016308A"/>
    <w:rsid w:val="00163449"/>
    <w:rsid w:val="00163BDF"/>
    <w:rsid w:val="00163D5F"/>
    <w:rsid w:val="001644D6"/>
    <w:rsid w:val="001650BF"/>
    <w:rsid w:val="00165654"/>
    <w:rsid w:val="00165946"/>
    <w:rsid w:val="00167135"/>
    <w:rsid w:val="0016726B"/>
    <w:rsid w:val="00167314"/>
    <w:rsid w:val="0016754E"/>
    <w:rsid w:val="00170D69"/>
    <w:rsid w:val="00170FB8"/>
    <w:rsid w:val="00171306"/>
    <w:rsid w:val="00171C27"/>
    <w:rsid w:val="001728DB"/>
    <w:rsid w:val="001730BB"/>
    <w:rsid w:val="0017348B"/>
    <w:rsid w:val="00174280"/>
    <w:rsid w:val="00174883"/>
    <w:rsid w:val="001759CA"/>
    <w:rsid w:val="00176270"/>
    <w:rsid w:val="00176885"/>
    <w:rsid w:val="001775C8"/>
    <w:rsid w:val="001779BD"/>
    <w:rsid w:val="00180560"/>
    <w:rsid w:val="00180EDB"/>
    <w:rsid w:val="001817D1"/>
    <w:rsid w:val="00182162"/>
    <w:rsid w:val="001834DB"/>
    <w:rsid w:val="00183693"/>
    <w:rsid w:val="00183A8A"/>
    <w:rsid w:val="0018436D"/>
    <w:rsid w:val="00184709"/>
    <w:rsid w:val="00185100"/>
    <w:rsid w:val="0018690D"/>
    <w:rsid w:val="001875BD"/>
    <w:rsid w:val="0018772C"/>
    <w:rsid w:val="00187E19"/>
    <w:rsid w:val="00187F2D"/>
    <w:rsid w:val="00190CCA"/>
    <w:rsid w:val="001914EB"/>
    <w:rsid w:val="001918EF"/>
    <w:rsid w:val="00192FD6"/>
    <w:rsid w:val="001935C9"/>
    <w:rsid w:val="00193C39"/>
    <w:rsid w:val="00194120"/>
    <w:rsid w:val="00194327"/>
    <w:rsid w:val="00194EAC"/>
    <w:rsid w:val="001952FA"/>
    <w:rsid w:val="0019606B"/>
    <w:rsid w:val="00196C29"/>
    <w:rsid w:val="0019751E"/>
    <w:rsid w:val="001A02FC"/>
    <w:rsid w:val="001A04C7"/>
    <w:rsid w:val="001A0927"/>
    <w:rsid w:val="001A273C"/>
    <w:rsid w:val="001A35D9"/>
    <w:rsid w:val="001A3815"/>
    <w:rsid w:val="001A3CFD"/>
    <w:rsid w:val="001A3F67"/>
    <w:rsid w:val="001A4018"/>
    <w:rsid w:val="001A41A8"/>
    <w:rsid w:val="001A46FB"/>
    <w:rsid w:val="001A4C35"/>
    <w:rsid w:val="001A4EBD"/>
    <w:rsid w:val="001A586C"/>
    <w:rsid w:val="001A67FD"/>
    <w:rsid w:val="001A6BDC"/>
    <w:rsid w:val="001A6C3A"/>
    <w:rsid w:val="001A6CA5"/>
    <w:rsid w:val="001A6E29"/>
    <w:rsid w:val="001A7666"/>
    <w:rsid w:val="001A7BE8"/>
    <w:rsid w:val="001B016F"/>
    <w:rsid w:val="001B07E7"/>
    <w:rsid w:val="001B08EE"/>
    <w:rsid w:val="001B0C1C"/>
    <w:rsid w:val="001B1782"/>
    <w:rsid w:val="001B2B06"/>
    <w:rsid w:val="001B39DE"/>
    <w:rsid w:val="001B3D4B"/>
    <w:rsid w:val="001B4BAA"/>
    <w:rsid w:val="001B6358"/>
    <w:rsid w:val="001B6697"/>
    <w:rsid w:val="001B6B52"/>
    <w:rsid w:val="001B7103"/>
    <w:rsid w:val="001C022A"/>
    <w:rsid w:val="001C028C"/>
    <w:rsid w:val="001C0863"/>
    <w:rsid w:val="001C1691"/>
    <w:rsid w:val="001C1748"/>
    <w:rsid w:val="001C19F5"/>
    <w:rsid w:val="001C1CD9"/>
    <w:rsid w:val="001C1F51"/>
    <w:rsid w:val="001C289C"/>
    <w:rsid w:val="001C33BA"/>
    <w:rsid w:val="001C389A"/>
    <w:rsid w:val="001C53EC"/>
    <w:rsid w:val="001C5791"/>
    <w:rsid w:val="001C591D"/>
    <w:rsid w:val="001C5EBB"/>
    <w:rsid w:val="001C6CE8"/>
    <w:rsid w:val="001C70F9"/>
    <w:rsid w:val="001C788F"/>
    <w:rsid w:val="001D0F41"/>
    <w:rsid w:val="001D2669"/>
    <w:rsid w:val="001D386F"/>
    <w:rsid w:val="001D3B66"/>
    <w:rsid w:val="001D6056"/>
    <w:rsid w:val="001E3751"/>
    <w:rsid w:val="001E44EE"/>
    <w:rsid w:val="001E4756"/>
    <w:rsid w:val="001E4C9C"/>
    <w:rsid w:val="001E5910"/>
    <w:rsid w:val="001E69D3"/>
    <w:rsid w:val="001E6DFB"/>
    <w:rsid w:val="001E6EA3"/>
    <w:rsid w:val="001F06C7"/>
    <w:rsid w:val="001F09C0"/>
    <w:rsid w:val="001F0EB4"/>
    <w:rsid w:val="001F1152"/>
    <w:rsid w:val="001F177E"/>
    <w:rsid w:val="001F24D6"/>
    <w:rsid w:val="001F27CA"/>
    <w:rsid w:val="001F2E58"/>
    <w:rsid w:val="001F33C6"/>
    <w:rsid w:val="001F3B17"/>
    <w:rsid w:val="001F4554"/>
    <w:rsid w:val="001F45C4"/>
    <w:rsid w:val="001F52D8"/>
    <w:rsid w:val="001F5EB1"/>
    <w:rsid w:val="001F64EC"/>
    <w:rsid w:val="001F7754"/>
    <w:rsid w:val="001F7826"/>
    <w:rsid w:val="001F7F45"/>
    <w:rsid w:val="00200AE8"/>
    <w:rsid w:val="00202488"/>
    <w:rsid w:val="00203267"/>
    <w:rsid w:val="00203BF5"/>
    <w:rsid w:val="0020408B"/>
    <w:rsid w:val="002048D1"/>
    <w:rsid w:val="0020599E"/>
    <w:rsid w:val="00205E42"/>
    <w:rsid w:val="002069DA"/>
    <w:rsid w:val="00207177"/>
    <w:rsid w:val="0020791F"/>
    <w:rsid w:val="00207FC6"/>
    <w:rsid w:val="00210067"/>
    <w:rsid w:val="002101B2"/>
    <w:rsid w:val="0021202A"/>
    <w:rsid w:val="00212490"/>
    <w:rsid w:val="00212C7C"/>
    <w:rsid w:val="002138D7"/>
    <w:rsid w:val="00213D53"/>
    <w:rsid w:val="00214330"/>
    <w:rsid w:val="00214BB0"/>
    <w:rsid w:val="00215640"/>
    <w:rsid w:val="0021622F"/>
    <w:rsid w:val="00216CD7"/>
    <w:rsid w:val="00217535"/>
    <w:rsid w:val="00217BE2"/>
    <w:rsid w:val="00221222"/>
    <w:rsid w:val="002231FB"/>
    <w:rsid w:val="002238E8"/>
    <w:rsid w:val="002241B5"/>
    <w:rsid w:val="00224634"/>
    <w:rsid w:val="00224D45"/>
    <w:rsid w:val="0022596B"/>
    <w:rsid w:val="00225D46"/>
    <w:rsid w:val="002264AD"/>
    <w:rsid w:val="00226A9A"/>
    <w:rsid w:val="00226B6A"/>
    <w:rsid w:val="00226CBD"/>
    <w:rsid w:val="002272B1"/>
    <w:rsid w:val="00230FBA"/>
    <w:rsid w:val="002314CB"/>
    <w:rsid w:val="00231B9F"/>
    <w:rsid w:val="002324B9"/>
    <w:rsid w:val="00233484"/>
    <w:rsid w:val="00233B13"/>
    <w:rsid w:val="002341B2"/>
    <w:rsid w:val="002354FA"/>
    <w:rsid w:val="002365F1"/>
    <w:rsid w:val="00236B6D"/>
    <w:rsid w:val="00236CD4"/>
    <w:rsid w:val="00236DFE"/>
    <w:rsid w:val="00237BEE"/>
    <w:rsid w:val="002403E9"/>
    <w:rsid w:val="00240CF2"/>
    <w:rsid w:val="002414FB"/>
    <w:rsid w:val="00241931"/>
    <w:rsid w:val="00242791"/>
    <w:rsid w:val="002428D0"/>
    <w:rsid w:val="00242F90"/>
    <w:rsid w:val="00243A6F"/>
    <w:rsid w:val="002441D0"/>
    <w:rsid w:val="00244D8B"/>
    <w:rsid w:val="002451A4"/>
    <w:rsid w:val="0025032D"/>
    <w:rsid w:val="00250A3E"/>
    <w:rsid w:val="00251E08"/>
    <w:rsid w:val="00252AC6"/>
    <w:rsid w:val="00252B29"/>
    <w:rsid w:val="00252DD4"/>
    <w:rsid w:val="002541F3"/>
    <w:rsid w:val="00254DC1"/>
    <w:rsid w:val="0025610A"/>
    <w:rsid w:val="00256460"/>
    <w:rsid w:val="00256AF6"/>
    <w:rsid w:val="002573C6"/>
    <w:rsid w:val="0026098F"/>
    <w:rsid w:val="0026099F"/>
    <w:rsid w:val="00260D5F"/>
    <w:rsid w:val="002619D7"/>
    <w:rsid w:val="0026221B"/>
    <w:rsid w:val="00263003"/>
    <w:rsid w:val="0026303C"/>
    <w:rsid w:val="00263A54"/>
    <w:rsid w:val="00264AA8"/>
    <w:rsid w:val="00265BDE"/>
    <w:rsid w:val="00266E7D"/>
    <w:rsid w:val="00266F7B"/>
    <w:rsid w:val="002708DE"/>
    <w:rsid w:val="002710BA"/>
    <w:rsid w:val="00271F77"/>
    <w:rsid w:val="00274D32"/>
    <w:rsid w:val="002750FE"/>
    <w:rsid w:val="00276634"/>
    <w:rsid w:val="002769CA"/>
    <w:rsid w:val="0027770C"/>
    <w:rsid w:val="002803F0"/>
    <w:rsid w:val="00281094"/>
    <w:rsid w:val="00281258"/>
    <w:rsid w:val="00283ACC"/>
    <w:rsid w:val="00283D8F"/>
    <w:rsid w:val="0028435C"/>
    <w:rsid w:val="00284363"/>
    <w:rsid w:val="00284671"/>
    <w:rsid w:val="00284862"/>
    <w:rsid w:val="00284907"/>
    <w:rsid w:val="00284D9D"/>
    <w:rsid w:val="00284EE1"/>
    <w:rsid w:val="0028507B"/>
    <w:rsid w:val="00286349"/>
    <w:rsid w:val="00286EC6"/>
    <w:rsid w:val="00287050"/>
    <w:rsid w:val="002908A6"/>
    <w:rsid w:val="00290A57"/>
    <w:rsid w:val="0029230E"/>
    <w:rsid w:val="00292AAF"/>
    <w:rsid w:val="00292B80"/>
    <w:rsid w:val="00292FF4"/>
    <w:rsid w:val="002935EB"/>
    <w:rsid w:val="00294F34"/>
    <w:rsid w:val="00294FAE"/>
    <w:rsid w:val="00296A35"/>
    <w:rsid w:val="00297F57"/>
    <w:rsid w:val="002A02F4"/>
    <w:rsid w:val="002A0A25"/>
    <w:rsid w:val="002A0AFB"/>
    <w:rsid w:val="002A0F57"/>
    <w:rsid w:val="002A1419"/>
    <w:rsid w:val="002A141B"/>
    <w:rsid w:val="002A1CE2"/>
    <w:rsid w:val="002A2BD0"/>
    <w:rsid w:val="002A3CD8"/>
    <w:rsid w:val="002A455E"/>
    <w:rsid w:val="002A4B04"/>
    <w:rsid w:val="002A5BDD"/>
    <w:rsid w:val="002A70F9"/>
    <w:rsid w:val="002A7355"/>
    <w:rsid w:val="002B0149"/>
    <w:rsid w:val="002B01D7"/>
    <w:rsid w:val="002B0FC5"/>
    <w:rsid w:val="002B1EC3"/>
    <w:rsid w:val="002B1F8A"/>
    <w:rsid w:val="002B1F8B"/>
    <w:rsid w:val="002B29C3"/>
    <w:rsid w:val="002B318E"/>
    <w:rsid w:val="002B338B"/>
    <w:rsid w:val="002B3F72"/>
    <w:rsid w:val="002B4ECB"/>
    <w:rsid w:val="002B55E8"/>
    <w:rsid w:val="002B7329"/>
    <w:rsid w:val="002B7BE7"/>
    <w:rsid w:val="002C0021"/>
    <w:rsid w:val="002C0939"/>
    <w:rsid w:val="002C0A0F"/>
    <w:rsid w:val="002C1833"/>
    <w:rsid w:val="002C1DDB"/>
    <w:rsid w:val="002C2ED0"/>
    <w:rsid w:val="002C3971"/>
    <w:rsid w:val="002C39FB"/>
    <w:rsid w:val="002C3CD9"/>
    <w:rsid w:val="002C3EB4"/>
    <w:rsid w:val="002C44C8"/>
    <w:rsid w:val="002C4514"/>
    <w:rsid w:val="002C4A21"/>
    <w:rsid w:val="002C5511"/>
    <w:rsid w:val="002C5CE5"/>
    <w:rsid w:val="002C5F43"/>
    <w:rsid w:val="002C5F9D"/>
    <w:rsid w:val="002C6764"/>
    <w:rsid w:val="002C6FD7"/>
    <w:rsid w:val="002C7F41"/>
    <w:rsid w:val="002D0F3D"/>
    <w:rsid w:val="002D18C6"/>
    <w:rsid w:val="002D1B58"/>
    <w:rsid w:val="002D2707"/>
    <w:rsid w:val="002D3094"/>
    <w:rsid w:val="002D3EAA"/>
    <w:rsid w:val="002D4090"/>
    <w:rsid w:val="002D4E93"/>
    <w:rsid w:val="002D54C4"/>
    <w:rsid w:val="002D6E5A"/>
    <w:rsid w:val="002D787A"/>
    <w:rsid w:val="002E0DF3"/>
    <w:rsid w:val="002E0F53"/>
    <w:rsid w:val="002E10E7"/>
    <w:rsid w:val="002E171A"/>
    <w:rsid w:val="002E4762"/>
    <w:rsid w:val="002E47DE"/>
    <w:rsid w:val="002E492B"/>
    <w:rsid w:val="002E59C7"/>
    <w:rsid w:val="002E6C30"/>
    <w:rsid w:val="002E72DD"/>
    <w:rsid w:val="002E73C2"/>
    <w:rsid w:val="002E7606"/>
    <w:rsid w:val="002F095B"/>
    <w:rsid w:val="002F0FBE"/>
    <w:rsid w:val="002F110C"/>
    <w:rsid w:val="002F177E"/>
    <w:rsid w:val="002F2612"/>
    <w:rsid w:val="002F3AA8"/>
    <w:rsid w:val="002F42BA"/>
    <w:rsid w:val="002F4512"/>
    <w:rsid w:val="002F468C"/>
    <w:rsid w:val="002F54FB"/>
    <w:rsid w:val="002F65B1"/>
    <w:rsid w:val="002F67BB"/>
    <w:rsid w:val="002F69AC"/>
    <w:rsid w:val="002F749B"/>
    <w:rsid w:val="003015C5"/>
    <w:rsid w:val="003017A3"/>
    <w:rsid w:val="0030194E"/>
    <w:rsid w:val="00301964"/>
    <w:rsid w:val="00302A2F"/>
    <w:rsid w:val="00302E8C"/>
    <w:rsid w:val="003032C2"/>
    <w:rsid w:val="00303D0C"/>
    <w:rsid w:val="00303E70"/>
    <w:rsid w:val="00304129"/>
    <w:rsid w:val="00304F2C"/>
    <w:rsid w:val="00305763"/>
    <w:rsid w:val="0030595E"/>
    <w:rsid w:val="003068D5"/>
    <w:rsid w:val="00306DCD"/>
    <w:rsid w:val="00307097"/>
    <w:rsid w:val="0030711D"/>
    <w:rsid w:val="0030711F"/>
    <w:rsid w:val="00307476"/>
    <w:rsid w:val="00307D2E"/>
    <w:rsid w:val="003101C4"/>
    <w:rsid w:val="00311E6A"/>
    <w:rsid w:val="003120BE"/>
    <w:rsid w:val="00312A77"/>
    <w:rsid w:val="00312C6C"/>
    <w:rsid w:val="00312DEC"/>
    <w:rsid w:val="00313FBE"/>
    <w:rsid w:val="0031406B"/>
    <w:rsid w:val="0031501E"/>
    <w:rsid w:val="00315318"/>
    <w:rsid w:val="00315F71"/>
    <w:rsid w:val="0031696C"/>
    <w:rsid w:val="00316B2B"/>
    <w:rsid w:val="003174C5"/>
    <w:rsid w:val="0031763F"/>
    <w:rsid w:val="00317E0F"/>
    <w:rsid w:val="00322342"/>
    <w:rsid w:val="0032256A"/>
    <w:rsid w:val="00322BC8"/>
    <w:rsid w:val="00322EE0"/>
    <w:rsid w:val="003241F9"/>
    <w:rsid w:val="003242FD"/>
    <w:rsid w:val="00325926"/>
    <w:rsid w:val="00326738"/>
    <w:rsid w:val="003276D2"/>
    <w:rsid w:val="00330767"/>
    <w:rsid w:val="00330830"/>
    <w:rsid w:val="0033116F"/>
    <w:rsid w:val="00331FAD"/>
    <w:rsid w:val="003322A0"/>
    <w:rsid w:val="003323D0"/>
    <w:rsid w:val="003326EC"/>
    <w:rsid w:val="0033276D"/>
    <w:rsid w:val="00332FB5"/>
    <w:rsid w:val="00333458"/>
    <w:rsid w:val="003341C7"/>
    <w:rsid w:val="00335383"/>
    <w:rsid w:val="00335470"/>
    <w:rsid w:val="003354A4"/>
    <w:rsid w:val="00335CA4"/>
    <w:rsid w:val="00336240"/>
    <w:rsid w:val="00336367"/>
    <w:rsid w:val="00337A2E"/>
    <w:rsid w:val="00337B75"/>
    <w:rsid w:val="003405AE"/>
    <w:rsid w:val="0034125B"/>
    <w:rsid w:val="003429B5"/>
    <w:rsid w:val="00343486"/>
    <w:rsid w:val="00344307"/>
    <w:rsid w:val="0034481D"/>
    <w:rsid w:val="00344D07"/>
    <w:rsid w:val="00346600"/>
    <w:rsid w:val="0034683E"/>
    <w:rsid w:val="00346ABB"/>
    <w:rsid w:val="00346B9F"/>
    <w:rsid w:val="003476E1"/>
    <w:rsid w:val="00347932"/>
    <w:rsid w:val="00347BD4"/>
    <w:rsid w:val="0035026A"/>
    <w:rsid w:val="003506FB"/>
    <w:rsid w:val="003520AC"/>
    <w:rsid w:val="0035268D"/>
    <w:rsid w:val="00352CE3"/>
    <w:rsid w:val="003537F0"/>
    <w:rsid w:val="0035396E"/>
    <w:rsid w:val="003539BB"/>
    <w:rsid w:val="00354BBF"/>
    <w:rsid w:val="00355965"/>
    <w:rsid w:val="00355B6B"/>
    <w:rsid w:val="0035646C"/>
    <w:rsid w:val="00356B7E"/>
    <w:rsid w:val="00356BC0"/>
    <w:rsid w:val="00360206"/>
    <w:rsid w:val="0036132D"/>
    <w:rsid w:val="00361665"/>
    <w:rsid w:val="00362729"/>
    <w:rsid w:val="0036279E"/>
    <w:rsid w:val="00362974"/>
    <w:rsid w:val="00362B20"/>
    <w:rsid w:val="00362FA9"/>
    <w:rsid w:val="0036328D"/>
    <w:rsid w:val="00363864"/>
    <w:rsid w:val="003642BE"/>
    <w:rsid w:val="0036454A"/>
    <w:rsid w:val="003649EE"/>
    <w:rsid w:val="00364C00"/>
    <w:rsid w:val="00364CE5"/>
    <w:rsid w:val="00365B03"/>
    <w:rsid w:val="003700FE"/>
    <w:rsid w:val="00371CF4"/>
    <w:rsid w:val="00371E00"/>
    <w:rsid w:val="003728DA"/>
    <w:rsid w:val="00372BB3"/>
    <w:rsid w:val="00372DEE"/>
    <w:rsid w:val="003730E6"/>
    <w:rsid w:val="00373D68"/>
    <w:rsid w:val="003749AA"/>
    <w:rsid w:val="00374A08"/>
    <w:rsid w:val="00375292"/>
    <w:rsid w:val="003755EE"/>
    <w:rsid w:val="00375746"/>
    <w:rsid w:val="00376717"/>
    <w:rsid w:val="00380F10"/>
    <w:rsid w:val="0038282E"/>
    <w:rsid w:val="0038301C"/>
    <w:rsid w:val="00384695"/>
    <w:rsid w:val="003849CB"/>
    <w:rsid w:val="00385D7F"/>
    <w:rsid w:val="0038600B"/>
    <w:rsid w:val="0038653E"/>
    <w:rsid w:val="00386BA2"/>
    <w:rsid w:val="00386C11"/>
    <w:rsid w:val="00386F22"/>
    <w:rsid w:val="0038782A"/>
    <w:rsid w:val="00387F8F"/>
    <w:rsid w:val="00390E0A"/>
    <w:rsid w:val="00391654"/>
    <w:rsid w:val="00391D32"/>
    <w:rsid w:val="0039221F"/>
    <w:rsid w:val="0039225B"/>
    <w:rsid w:val="00392602"/>
    <w:rsid w:val="003928A9"/>
    <w:rsid w:val="00392945"/>
    <w:rsid w:val="00393B22"/>
    <w:rsid w:val="00393D4D"/>
    <w:rsid w:val="0039514B"/>
    <w:rsid w:val="00395327"/>
    <w:rsid w:val="0039590F"/>
    <w:rsid w:val="00396590"/>
    <w:rsid w:val="003965A3"/>
    <w:rsid w:val="00396AC9"/>
    <w:rsid w:val="00397914"/>
    <w:rsid w:val="003A0BFA"/>
    <w:rsid w:val="003A1CA4"/>
    <w:rsid w:val="003A259E"/>
    <w:rsid w:val="003A2A3B"/>
    <w:rsid w:val="003A31F5"/>
    <w:rsid w:val="003A3AEC"/>
    <w:rsid w:val="003A3C04"/>
    <w:rsid w:val="003A4234"/>
    <w:rsid w:val="003A5193"/>
    <w:rsid w:val="003A5B16"/>
    <w:rsid w:val="003A5EAE"/>
    <w:rsid w:val="003A743F"/>
    <w:rsid w:val="003A754B"/>
    <w:rsid w:val="003A7B1A"/>
    <w:rsid w:val="003B03FC"/>
    <w:rsid w:val="003B0E13"/>
    <w:rsid w:val="003B102F"/>
    <w:rsid w:val="003B1843"/>
    <w:rsid w:val="003B245F"/>
    <w:rsid w:val="003B27C1"/>
    <w:rsid w:val="003B4005"/>
    <w:rsid w:val="003B4520"/>
    <w:rsid w:val="003B4C0C"/>
    <w:rsid w:val="003B5B8C"/>
    <w:rsid w:val="003B6607"/>
    <w:rsid w:val="003B7B2F"/>
    <w:rsid w:val="003C0EA5"/>
    <w:rsid w:val="003C109C"/>
    <w:rsid w:val="003C3731"/>
    <w:rsid w:val="003C4189"/>
    <w:rsid w:val="003C423F"/>
    <w:rsid w:val="003C4D3A"/>
    <w:rsid w:val="003C6D1C"/>
    <w:rsid w:val="003C779F"/>
    <w:rsid w:val="003C7D17"/>
    <w:rsid w:val="003D06DB"/>
    <w:rsid w:val="003D074B"/>
    <w:rsid w:val="003D1F7F"/>
    <w:rsid w:val="003D3300"/>
    <w:rsid w:val="003D3F5C"/>
    <w:rsid w:val="003D4309"/>
    <w:rsid w:val="003D5196"/>
    <w:rsid w:val="003D5C24"/>
    <w:rsid w:val="003D6F8B"/>
    <w:rsid w:val="003D716B"/>
    <w:rsid w:val="003D7553"/>
    <w:rsid w:val="003E0B1B"/>
    <w:rsid w:val="003E11FD"/>
    <w:rsid w:val="003E17DB"/>
    <w:rsid w:val="003E222A"/>
    <w:rsid w:val="003E2A8F"/>
    <w:rsid w:val="003E3228"/>
    <w:rsid w:val="003E4220"/>
    <w:rsid w:val="003E44F7"/>
    <w:rsid w:val="003E5C80"/>
    <w:rsid w:val="003E5DA3"/>
    <w:rsid w:val="003E70B2"/>
    <w:rsid w:val="003E7530"/>
    <w:rsid w:val="003F012E"/>
    <w:rsid w:val="003F07A6"/>
    <w:rsid w:val="003F167C"/>
    <w:rsid w:val="003F1E8D"/>
    <w:rsid w:val="003F2956"/>
    <w:rsid w:val="003F3E9E"/>
    <w:rsid w:val="003F416E"/>
    <w:rsid w:val="003F4654"/>
    <w:rsid w:val="003F50FF"/>
    <w:rsid w:val="003F552B"/>
    <w:rsid w:val="00400094"/>
    <w:rsid w:val="0040013D"/>
    <w:rsid w:val="004009EA"/>
    <w:rsid w:val="00400C6C"/>
    <w:rsid w:val="00400CC4"/>
    <w:rsid w:val="00401BB2"/>
    <w:rsid w:val="00403314"/>
    <w:rsid w:val="0040367D"/>
    <w:rsid w:val="0040373D"/>
    <w:rsid w:val="00403F07"/>
    <w:rsid w:val="004041EF"/>
    <w:rsid w:val="00404689"/>
    <w:rsid w:val="004047E1"/>
    <w:rsid w:val="00405C90"/>
    <w:rsid w:val="00405E19"/>
    <w:rsid w:val="004060CD"/>
    <w:rsid w:val="00406547"/>
    <w:rsid w:val="00407CF8"/>
    <w:rsid w:val="00410A9B"/>
    <w:rsid w:val="00412386"/>
    <w:rsid w:val="004127E3"/>
    <w:rsid w:val="0041289A"/>
    <w:rsid w:val="004136CF"/>
    <w:rsid w:val="00413890"/>
    <w:rsid w:val="00413E06"/>
    <w:rsid w:val="00415C91"/>
    <w:rsid w:val="00416883"/>
    <w:rsid w:val="00416B32"/>
    <w:rsid w:val="004170E9"/>
    <w:rsid w:val="004171C5"/>
    <w:rsid w:val="004177A5"/>
    <w:rsid w:val="00417EA5"/>
    <w:rsid w:val="004204B3"/>
    <w:rsid w:val="004208AB"/>
    <w:rsid w:val="00420FA1"/>
    <w:rsid w:val="00421728"/>
    <w:rsid w:val="004217B6"/>
    <w:rsid w:val="004223DC"/>
    <w:rsid w:val="004224F0"/>
    <w:rsid w:val="004234CA"/>
    <w:rsid w:val="004234E2"/>
    <w:rsid w:val="0042367A"/>
    <w:rsid w:val="004238A5"/>
    <w:rsid w:val="00424C9D"/>
    <w:rsid w:val="004255AA"/>
    <w:rsid w:val="0042577F"/>
    <w:rsid w:val="004257F0"/>
    <w:rsid w:val="004258EE"/>
    <w:rsid w:val="004258F4"/>
    <w:rsid w:val="00426069"/>
    <w:rsid w:val="00426BB6"/>
    <w:rsid w:val="0042712F"/>
    <w:rsid w:val="00427625"/>
    <w:rsid w:val="00427F3E"/>
    <w:rsid w:val="00430630"/>
    <w:rsid w:val="00430F04"/>
    <w:rsid w:val="00431616"/>
    <w:rsid w:val="0043269F"/>
    <w:rsid w:val="00432A81"/>
    <w:rsid w:val="00432F4D"/>
    <w:rsid w:val="00433761"/>
    <w:rsid w:val="004350B8"/>
    <w:rsid w:val="004354AD"/>
    <w:rsid w:val="00435931"/>
    <w:rsid w:val="00435ACB"/>
    <w:rsid w:val="00435E59"/>
    <w:rsid w:val="004366E8"/>
    <w:rsid w:val="0043684B"/>
    <w:rsid w:val="004371F1"/>
    <w:rsid w:val="0044136A"/>
    <w:rsid w:val="00441586"/>
    <w:rsid w:val="004418F5"/>
    <w:rsid w:val="004456D9"/>
    <w:rsid w:val="0044603B"/>
    <w:rsid w:val="004468E2"/>
    <w:rsid w:val="00446E7A"/>
    <w:rsid w:val="004470BB"/>
    <w:rsid w:val="004502A4"/>
    <w:rsid w:val="00450363"/>
    <w:rsid w:val="00451844"/>
    <w:rsid w:val="00451A4B"/>
    <w:rsid w:val="0045273D"/>
    <w:rsid w:val="0045278D"/>
    <w:rsid w:val="00452AFD"/>
    <w:rsid w:val="004531B7"/>
    <w:rsid w:val="004537AC"/>
    <w:rsid w:val="00453AA4"/>
    <w:rsid w:val="00454768"/>
    <w:rsid w:val="00454A53"/>
    <w:rsid w:val="00454B84"/>
    <w:rsid w:val="00455A44"/>
    <w:rsid w:val="00456794"/>
    <w:rsid w:val="00460DD0"/>
    <w:rsid w:val="00461DF6"/>
    <w:rsid w:val="0046292F"/>
    <w:rsid w:val="00462B12"/>
    <w:rsid w:val="00462BE4"/>
    <w:rsid w:val="00463D63"/>
    <w:rsid w:val="00463E1C"/>
    <w:rsid w:val="004640FF"/>
    <w:rsid w:val="00464544"/>
    <w:rsid w:val="00464C2C"/>
    <w:rsid w:val="00464D98"/>
    <w:rsid w:val="00465BFA"/>
    <w:rsid w:val="00466192"/>
    <w:rsid w:val="004661CB"/>
    <w:rsid w:val="00466B1F"/>
    <w:rsid w:val="00466C6C"/>
    <w:rsid w:val="00467441"/>
    <w:rsid w:val="00467871"/>
    <w:rsid w:val="00470F6D"/>
    <w:rsid w:val="00470FBD"/>
    <w:rsid w:val="00471527"/>
    <w:rsid w:val="00471613"/>
    <w:rsid w:val="00471E94"/>
    <w:rsid w:val="004735CD"/>
    <w:rsid w:val="00473675"/>
    <w:rsid w:val="00475159"/>
    <w:rsid w:val="0047628E"/>
    <w:rsid w:val="00477E27"/>
    <w:rsid w:val="004801CF"/>
    <w:rsid w:val="0048045C"/>
    <w:rsid w:val="0048086A"/>
    <w:rsid w:val="004819EF"/>
    <w:rsid w:val="004821D4"/>
    <w:rsid w:val="004826B0"/>
    <w:rsid w:val="00482A63"/>
    <w:rsid w:val="0048311F"/>
    <w:rsid w:val="00483CB8"/>
    <w:rsid w:val="00483D85"/>
    <w:rsid w:val="00483F31"/>
    <w:rsid w:val="00484871"/>
    <w:rsid w:val="004867B5"/>
    <w:rsid w:val="00487818"/>
    <w:rsid w:val="00487846"/>
    <w:rsid w:val="00487A22"/>
    <w:rsid w:val="00487B75"/>
    <w:rsid w:val="0049034F"/>
    <w:rsid w:val="00491B37"/>
    <w:rsid w:val="00492969"/>
    <w:rsid w:val="00492C0B"/>
    <w:rsid w:val="0049329D"/>
    <w:rsid w:val="0049352E"/>
    <w:rsid w:val="00493B63"/>
    <w:rsid w:val="00494E8D"/>
    <w:rsid w:val="0049528D"/>
    <w:rsid w:val="004952DA"/>
    <w:rsid w:val="00495C4A"/>
    <w:rsid w:val="0049769F"/>
    <w:rsid w:val="004A005B"/>
    <w:rsid w:val="004A05DA"/>
    <w:rsid w:val="004A06A3"/>
    <w:rsid w:val="004A1013"/>
    <w:rsid w:val="004A1550"/>
    <w:rsid w:val="004A162B"/>
    <w:rsid w:val="004A19BD"/>
    <w:rsid w:val="004A1A9E"/>
    <w:rsid w:val="004A1DFB"/>
    <w:rsid w:val="004A5432"/>
    <w:rsid w:val="004A5439"/>
    <w:rsid w:val="004A5693"/>
    <w:rsid w:val="004A5830"/>
    <w:rsid w:val="004A5FF8"/>
    <w:rsid w:val="004A7F7D"/>
    <w:rsid w:val="004B01BE"/>
    <w:rsid w:val="004B1B7F"/>
    <w:rsid w:val="004B3819"/>
    <w:rsid w:val="004B64BA"/>
    <w:rsid w:val="004B6A17"/>
    <w:rsid w:val="004B6AA3"/>
    <w:rsid w:val="004B702B"/>
    <w:rsid w:val="004B7F25"/>
    <w:rsid w:val="004C045B"/>
    <w:rsid w:val="004C051A"/>
    <w:rsid w:val="004C0B18"/>
    <w:rsid w:val="004C1DAF"/>
    <w:rsid w:val="004C1F4D"/>
    <w:rsid w:val="004C211E"/>
    <w:rsid w:val="004C222C"/>
    <w:rsid w:val="004C410A"/>
    <w:rsid w:val="004C4686"/>
    <w:rsid w:val="004C5031"/>
    <w:rsid w:val="004C5320"/>
    <w:rsid w:val="004C5B00"/>
    <w:rsid w:val="004C6420"/>
    <w:rsid w:val="004C6F17"/>
    <w:rsid w:val="004C7A17"/>
    <w:rsid w:val="004D0188"/>
    <w:rsid w:val="004D0298"/>
    <w:rsid w:val="004D1493"/>
    <w:rsid w:val="004D1619"/>
    <w:rsid w:val="004D1C4E"/>
    <w:rsid w:val="004D1ECF"/>
    <w:rsid w:val="004D1FE2"/>
    <w:rsid w:val="004D3046"/>
    <w:rsid w:val="004D3FEB"/>
    <w:rsid w:val="004D5522"/>
    <w:rsid w:val="004D5B6D"/>
    <w:rsid w:val="004D68A5"/>
    <w:rsid w:val="004D6922"/>
    <w:rsid w:val="004E0DA6"/>
    <w:rsid w:val="004E0EA1"/>
    <w:rsid w:val="004E12AE"/>
    <w:rsid w:val="004E13CA"/>
    <w:rsid w:val="004E1F82"/>
    <w:rsid w:val="004E20F0"/>
    <w:rsid w:val="004E2A25"/>
    <w:rsid w:val="004E2AFA"/>
    <w:rsid w:val="004E2FB2"/>
    <w:rsid w:val="004E3984"/>
    <w:rsid w:val="004E48FE"/>
    <w:rsid w:val="004E5E48"/>
    <w:rsid w:val="004E6107"/>
    <w:rsid w:val="004E66F6"/>
    <w:rsid w:val="004E67DB"/>
    <w:rsid w:val="004E7219"/>
    <w:rsid w:val="004E751B"/>
    <w:rsid w:val="004E7DBD"/>
    <w:rsid w:val="004F1106"/>
    <w:rsid w:val="004F161C"/>
    <w:rsid w:val="004F31E8"/>
    <w:rsid w:val="004F362D"/>
    <w:rsid w:val="004F466A"/>
    <w:rsid w:val="004F4D1D"/>
    <w:rsid w:val="004F50E5"/>
    <w:rsid w:val="004F6349"/>
    <w:rsid w:val="004F7B34"/>
    <w:rsid w:val="00500DF4"/>
    <w:rsid w:val="00501FA6"/>
    <w:rsid w:val="005021DF"/>
    <w:rsid w:val="005027F4"/>
    <w:rsid w:val="00502E03"/>
    <w:rsid w:val="00503119"/>
    <w:rsid w:val="00503631"/>
    <w:rsid w:val="005039AC"/>
    <w:rsid w:val="00503CF7"/>
    <w:rsid w:val="0050459F"/>
    <w:rsid w:val="005053EE"/>
    <w:rsid w:val="00506A3C"/>
    <w:rsid w:val="0050770B"/>
    <w:rsid w:val="0050776B"/>
    <w:rsid w:val="0051063E"/>
    <w:rsid w:val="005106B9"/>
    <w:rsid w:val="00510A45"/>
    <w:rsid w:val="00511878"/>
    <w:rsid w:val="0051191D"/>
    <w:rsid w:val="005132DB"/>
    <w:rsid w:val="00513D1D"/>
    <w:rsid w:val="005144F3"/>
    <w:rsid w:val="00514F71"/>
    <w:rsid w:val="00515FA7"/>
    <w:rsid w:val="00515FCB"/>
    <w:rsid w:val="00516E63"/>
    <w:rsid w:val="005173FC"/>
    <w:rsid w:val="00517D26"/>
    <w:rsid w:val="00521024"/>
    <w:rsid w:val="0052118C"/>
    <w:rsid w:val="0052126A"/>
    <w:rsid w:val="0052153D"/>
    <w:rsid w:val="00521764"/>
    <w:rsid w:val="00521EA3"/>
    <w:rsid w:val="00522DD3"/>
    <w:rsid w:val="00523542"/>
    <w:rsid w:val="00524586"/>
    <w:rsid w:val="00524A2B"/>
    <w:rsid w:val="00526BB0"/>
    <w:rsid w:val="00527208"/>
    <w:rsid w:val="005300E5"/>
    <w:rsid w:val="005314C4"/>
    <w:rsid w:val="00532780"/>
    <w:rsid w:val="00532C23"/>
    <w:rsid w:val="0053313E"/>
    <w:rsid w:val="00533564"/>
    <w:rsid w:val="00533B99"/>
    <w:rsid w:val="00535E29"/>
    <w:rsid w:val="00535FF9"/>
    <w:rsid w:val="0053614D"/>
    <w:rsid w:val="00536939"/>
    <w:rsid w:val="00540C12"/>
    <w:rsid w:val="00541505"/>
    <w:rsid w:val="00541C52"/>
    <w:rsid w:val="005424C1"/>
    <w:rsid w:val="00542B46"/>
    <w:rsid w:val="00543AFB"/>
    <w:rsid w:val="0054587F"/>
    <w:rsid w:val="0054631B"/>
    <w:rsid w:val="00547D68"/>
    <w:rsid w:val="00550D80"/>
    <w:rsid w:val="00550EA8"/>
    <w:rsid w:val="00552A9D"/>
    <w:rsid w:val="0055315A"/>
    <w:rsid w:val="0055339B"/>
    <w:rsid w:val="0055456A"/>
    <w:rsid w:val="00555756"/>
    <w:rsid w:val="0055590A"/>
    <w:rsid w:val="00555D54"/>
    <w:rsid w:val="00556137"/>
    <w:rsid w:val="00560701"/>
    <w:rsid w:val="00560800"/>
    <w:rsid w:val="005608B9"/>
    <w:rsid w:val="00560E35"/>
    <w:rsid w:val="00562C31"/>
    <w:rsid w:val="00563E04"/>
    <w:rsid w:val="00564345"/>
    <w:rsid w:val="00565042"/>
    <w:rsid w:val="00565A1E"/>
    <w:rsid w:val="005675E8"/>
    <w:rsid w:val="00567866"/>
    <w:rsid w:val="005700F3"/>
    <w:rsid w:val="005702F9"/>
    <w:rsid w:val="0057074D"/>
    <w:rsid w:val="0057097A"/>
    <w:rsid w:val="00571474"/>
    <w:rsid w:val="0057198E"/>
    <w:rsid w:val="00572A73"/>
    <w:rsid w:val="00573990"/>
    <w:rsid w:val="00574428"/>
    <w:rsid w:val="005757C5"/>
    <w:rsid w:val="00576827"/>
    <w:rsid w:val="005778E8"/>
    <w:rsid w:val="00577942"/>
    <w:rsid w:val="00580DA2"/>
    <w:rsid w:val="005818B4"/>
    <w:rsid w:val="00581906"/>
    <w:rsid w:val="005819CA"/>
    <w:rsid w:val="00582B0A"/>
    <w:rsid w:val="00582DDE"/>
    <w:rsid w:val="00583240"/>
    <w:rsid w:val="0058362B"/>
    <w:rsid w:val="00583D66"/>
    <w:rsid w:val="0058438B"/>
    <w:rsid w:val="00584B19"/>
    <w:rsid w:val="00585356"/>
    <w:rsid w:val="005859C5"/>
    <w:rsid w:val="005875D2"/>
    <w:rsid w:val="00590A70"/>
    <w:rsid w:val="00590CA4"/>
    <w:rsid w:val="00590DFC"/>
    <w:rsid w:val="00590F1A"/>
    <w:rsid w:val="0059243F"/>
    <w:rsid w:val="00592515"/>
    <w:rsid w:val="00592868"/>
    <w:rsid w:val="00592DC1"/>
    <w:rsid w:val="00595124"/>
    <w:rsid w:val="00595CA1"/>
    <w:rsid w:val="00596444"/>
    <w:rsid w:val="005966E5"/>
    <w:rsid w:val="00596E05"/>
    <w:rsid w:val="005A03FF"/>
    <w:rsid w:val="005A0457"/>
    <w:rsid w:val="005A0E8D"/>
    <w:rsid w:val="005A120C"/>
    <w:rsid w:val="005A1C46"/>
    <w:rsid w:val="005A27A7"/>
    <w:rsid w:val="005A27CA"/>
    <w:rsid w:val="005A32A2"/>
    <w:rsid w:val="005A3BAF"/>
    <w:rsid w:val="005A3D15"/>
    <w:rsid w:val="005A45F9"/>
    <w:rsid w:val="005A5E49"/>
    <w:rsid w:val="005A64EA"/>
    <w:rsid w:val="005A7EC7"/>
    <w:rsid w:val="005B0019"/>
    <w:rsid w:val="005B0026"/>
    <w:rsid w:val="005B0916"/>
    <w:rsid w:val="005B0A4D"/>
    <w:rsid w:val="005B0D39"/>
    <w:rsid w:val="005B0E27"/>
    <w:rsid w:val="005B1910"/>
    <w:rsid w:val="005B1BE7"/>
    <w:rsid w:val="005B4669"/>
    <w:rsid w:val="005B46C2"/>
    <w:rsid w:val="005B4799"/>
    <w:rsid w:val="005B47EA"/>
    <w:rsid w:val="005B4817"/>
    <w:rsid w:val="005B4B41"/>
    <w:rsid w:val="005B569E"/>
    <w:rsid w:val="005B599A"/>
    <w:rsid w:val="005B5F28"/>
    <w:rsid w:val="005B5F29"/>
    <w:rsid w:val="005B66AC"/>
    <w:rsid w:val="005C0D6B"/>
    <w:rsid w:val="005C2B62"/>
    <w:rsid w:val="005C309D"/>
    <w:rsid w:val="005C385B"/>
    <w:rsid w:val="005C38C6"/>
    <w:rsid w:val="005C48AF"/>
    <w:rsid w:val="005C524E"/>
    <w:rsid w:val="005C5A4D"/>
    <w:rsid w:val="005C5DB7"/>
    <w:rsid w:val="005C6409"/>
    <w:rsid w:val="005C6C4B"/>
    <w:rsid w:val="005C7E82"/>
    <w:rsid w:val="005D179A"/>
    <w:rsid w:val="005D1D91"/>
    <w:rsid w:val="005D2311"/>
    <w:rsid w:val="005D2CD0"/>
    <w:rsid w:val="005D3C4D"/>
    <w:rsid w:val="005D3F92"/>
    <w:rsid w:val="005D4207"/>
    <w:rsid w:val="005D4772"/>
    <w:rsid w:val="005D4809"/>
    <w:rsid w:val="005D4A2A"/>
    <w:rsid w:val="005D4D36"/>
    <w:rsid w:val="005D595D"/>
    <w:rsid w:val="005D5AF3"/>
    <w:rsid w:val="005D657A"/>
    <w:rsid w:val="005D6D46"/>
    <w:rsid w:val="005E079A"/>
    <w:rsid w:val="005E1382"/>
    <w:rsid w:val="005E23B3"/>
    <w:rsid w:val="005E2B74"/>
    <w:rsid w:val="005E2E7E"/>
    <w:rsid w:val="005E38A1"/>
    <w:rsid w:val="005E431B"/>
    <w:rsid w:val="005E57F2"/>
    <w:rsid w:val="005E5A9F"/>
    <w:rsid w:val="005E5F78"/>
    <w:rsid w:val="005E64B6"/>
    <w:rsid w:val="005E7E38"/>
    <w:rsid w:val="005F05F6"/>
    <w:rsid w:val="005F06AC"/>
    <w:rsid w:val="005F099B"/>
    <w:rsid w:val="005F1915"/>
    <w:rsid w:val="005F2B19"/>
    <w:rsid w:val="005F3174"/>
    <w:rsid w:val="005F34AD"/>
    <w:rsid w:val="005F38C9"/>
    <w:rsid w:val="005F3ADC"/>
    <w:rsid w:val="005F3FAA"/>
    <w:rsid w:val="005F652D"/>
    <w:rsid w:val="005F6CDF"/>
    <w:rsid w:val="005F70D5"/>
    <w:rsid w:val="005F747D"/>
    <w:rsid w:val="005F79B8"/>
    <w:rsid w:val="00602A67"/>
    <w:rsid w:val="00602BD5"/>
    <w:rsid w:val="006038BB"/>
    <w:rsid w:val="00603B67"/>
    <w:rsid w:val="0060434E"/>
    <w:rsid w:val="0060489F"/>
    <w:rsid w:val="00605191"/>
    <w:rsid w:val="00605BAA"/>
    <w:rsid w:val="00605BFD"/>
    <w:rsid w:val="00606B51"/>
    <w:rsid w:val="00607201"/>
    <w:rsid w:val="00610B73"/>
    <w:rsid w:val="0061104C"/>
    <w:rsid w:val="006114F9"/>
    <w:rsid w:val="00612569"/>
    <w:rsid w:val="00612A6D"/>
    <w:rsid w:val="00613066"/>
    <w:rsid w:val="00613146"/>
    <w:rsid w:val="00613528"/>
    <w:rsid w:val="00613FE9"/>
    <w:rsid w:val="006142F8"/>
    <w:rsid w:val="00614634"/>
    <w:rsid w:val="00614FDE"/>
    <w:rsid w:val="006154FE"/>
    <w:rsid w:val="006157E1"/>
    <w:rsid w:val="00617058"/>
    <w:rsid w:val="0061714C"/>
    <w:rsid w:val="006174B1"/>
    <w:rsid w:val="006177B6"/>
    <w:rsid w:val="006203DD"/>
    <w:rsid w:val="00620604"/>
    <w:rsid w:val="00620FF0"/>
    <w:rsid w:val="006217AF"/>
    <w:rsid w:val="00621C42"/>
    <w:rsid w:val="00622482"/>
    <w:rsid w:val="00623558"/>
    <w:rsid w:val="006237D2"/>
    <w:rsid w:val="00623E01"/>
    <w:rsid w:val="00623E26"/>
    <w:rsid w:val="00625657"/>
    <w:rsid w:val="00625FF4"/>
    <w:rsid w:val="00626633"/>
    <w:rsid w:val="00626BAA"/>
    <w:rsid w:val="006270BF"/>
    <w:rsid w:val="00627E03"/>
    <w:rsid w:val="0063160D"/>
    <w:rsid w:val="00631B96"/>
    <w:rsid w:val="00631FD8"/>
    <w:rsid w:val="00632640"/>
    <w:rsid w:val="00632FF0"/>
    <w:rsid w:val="0063338F"/>
    <w:rsid w:val="00633ADC"/>
    <w:rsid w:val="00633B0A"/>
    <w:rsid w:val="0063482F"/>
    <w:rsid w:val="00634E54"/>
    <w:rsid w:val="00635A97"/>
    <w:rsid w:val="00635C6B"/>
    <w:rsid w:val="00635F4E"/>
    <w:rsid w:val="0063643C"/>
    <w:rsid w:val="00636960"/>
    <w:rsid w:val="00636B25"/>
    <w:rsid w:val="00637BEC"/>
    <w:rsid w:val="00637BED"/>
    <w:rsid w:val="00640821"/>
    <w:rsid w:val="00640AE6"/>
    <w:rsid w:val="00640E7B"/>
    <w:rsid w:val="0064122E"/>
    <w:rsid w:val="00641947"/>
    <w:rsid w:val="00641A86"/>
    <w:rsid w:val="00642F4A"/>
    <w:rsid w:val="00643167"/>
    <w:rsid w:val="0064336C"/>
    <w:rsid w:val="006433D0"/>
    <w:rsid w:val="0064349E"/>
    <w:rsid w:val="006438DD"/>
    <w:rsid w:val="00643C69"/>
    <w:rsid w:val="00644492"/>
    <w:rsid w:val="00644574"/>
    <w:rsid w:val="00644A53"/>
    <w:rsid w:val="00645E56"/>
    <w:rsid w:val="00645F60"/>
    <w:rsid w:val="006462DD"/>
    <w:rsid w:val="00646C1B"/>
    <w:rsid w:val="006474D4"/>
    <w:rsid w:val="00650E3B"/>
    <w:rsid w:val="00651645"/>
    <w:rsid w:val="006520FC"/>
    <w:rsid w:val="006525FF"/>
    <w:rsid w:val="00652BD3"/>
    <w:rsid w:val="00652C2F"/>
    <w:rsid w:val="006530F6"/>
    <w:rsid w:val="0065373F"/>
    <w:rsid w:val="00653B71"/>
    <w:rsid w:val="006550DE"/>
    <w:rsid w:val="0065556B"/>
    <w:rsid w:val="00655877"/>
    <w:rsid w:val="00655C04"/>
    <w:rsid w:val="00655C86"/>
    <w:rsid w:val="00655EBC"/>
    <w:rsid w:val="00657A3B"/>
    <w:rsid w:val="0066075E"/>
    <w:rsid w:val="00662140"/>
    <w:rsid w:val="00663B5F"/>
    <w:rsid w:val="0066465F"/>
    <w:rsid w:val="006647D3"/>
    <w:rsid w:val="00664A8F"/>
    <w:rsid w:val="00664B8C"/>
    <w:rsid w:val="00664C86"/>
    <w:rsid w:val="006663BA"/>
    <w:rsid w:val="00666EB2"/>
    <w:rsid w:val="0066739F"/>
    <w:rsid w:val="006674FC"/>
    <w:rsid w:val="006677E1"/>
    <w:rsid w:val="00671E78"/>
    <w:rsid w:val="00672A3A"/>
    <w:rsid w:val="00672D13"/>
    <w:rsid w:val="0067318E"/>
    <w:rsid w:val="00673796"/>
    <w:rsid w:val="00673F15"/>
    <w:rsid w:val="00674077"/>
    <w:rsid w:val="006757C2"/>
    <w:rsid w:val="0067796D"/>
    <w:rsid w:val="00680314"/>
    <w:rsid w:val="0068098B"/>
    <w:rsid w:val="00680E1E"/>
    <w:rsid w:val="00681741"/>
    <w:rsid w:val="00681F18"/>
    <w:rsid w:val="00682D67"/>
    <w:rsid w:val="00682E2C"/>
    <w:rsid w:val="00683544"/>
    <w:rsid w:val="006843D5"/>
    <w:rsid w:val="0068575B"/>
    <w:rsid w:val="00686C8B"/>
    <w:rsid w:val="006875B8"/>
    <w:rsid w:val="00687FAE"/>
    <w:rsid w:val="0069059F"/>
    <w:rsid w:val="00690F88"/>
    <w:rsid w:val="006916D7"/>
    <w:rsid w:val="00691A5F"/>
    <w:rsid w:val="006924BC"/>
    <w:rsid w:val="00692B6A"/>
    <w:rsid w:val="00693110"/>
    <w:rsid w:val="00694101"/>
    <w:rsid w:val="006944E9"/>
    <w:rsid w:val="006968C2"/>
    <w:rsid w:val="00696F48"/>
    <w:rsid w:val="0069725C"/>
    <w:rsid w:val="0069732C"/>
    <w:rsid w:val="006A09C5"/>
    <w:rsid w:val="006A0F90"/>
    <w:rsid w:val="006A0FFC"/>
    <w:rsid w:val="006A17A9"/>
    <w:rsid w:val="006A1CD6"/>
    <w:rsid w:val="006A27F8"/>
    <w:rsid w:val="006A2CFF"/>
    <w:rsid w:val="006A364A"/>
    <w:rsid w:val="006A36DE"/>
    <w:rsid w:val="006A3849"/>
    <w:rsid w:val="006A3D75"/>
    <w:rsid w:val="006A4EE1"/>
    <w:rsid w:val="006A6578"/>
    <w:rsid w:val="006A6C00"/>
    <w:rsid w:val="006A7200"/>
    <w:rsid w:val="006A7218"/>
    <w:rsid w:val="006B0276"/>
    <w:rsid w:val="006B0556"/>
    <w:rsid w:val="006B077E"/>
    <w:rsid w:val="006B0A38"/>
    <w:rsid w:val="006B11B5"/>
    <w:rsid w:val="006B15E8"/>
    <w:rsid w:val="006B1922"/>
    <w:rsid w:val="006B1C11"/>
    <w:rsid w:val="006B2725"/>
    <w:rsid w:val="006B28EF"/>
    <w:rsid w:val="006B2FB3"/>
    <w:rsid w:val="006B3FDE"/>
    <w:rsid w:val="006B42F2"/>
    <w:rsid w:val="006B4F3E"/>
    <w:rsid w:val="006B512C"/>
    <w:rsid w:val="006B6378"/>
    <w:rsid w:val="006B66DC"/>
    <w:rsid w:val="006B670B"/>
    <w:rsid w:val="006B7EE2"/>
    <w:rsid w:val="006C01C7"/>
    <w:rsid w:val="006C1D01"/>
    <w:rsid w:val="006C29DA"/>
    <w:rsid w:val="006C37CF"/>
    <w:rsid w:val="006C39C5"/>
    <w:rsid w:val="006C3F8C"/>
    <w:rsid w:val="006C42A2"/>
    <w:rsid w:val="006C4635"/>
    <w:rsid w:val="006C4D77"/>
    <w:rsid w:val="006C5759"/>
    <w:rsid w:val="006C6E95"/>
    <w:rsid w:val="006C6EB1"/>
    <w:rsid w:val="006C6F88"/>
    <w:rsid w:val="006C7B0C"/>
    <w:rsid w:val="006C7E00"/>
    <w:rsid w:val="006C7EDC"/>
    <w:rsid w:val="006C7FC0"/>
    <w:rsid w:val="006D066A"/>
    <w:rsid w:val="006D2054"/>
    <w:rsid w:val="006D2427"/>
    <w:rsid w:val="006D2EC4"/>
    <w:rsid w:val="006D356A"/>
    <w:rsid w:val="006D4109"/>
    <w:rsid w:val="006D4377"/>
    <w:rsid w:val="006D6642"/>
    <w:rsid w:val="006D66DD"/>
    <w:rsid w:val="006D75A5"/>
    <w:rsid w:val="006E0B4D"/>
    <w:rsid w:val="006E1BCA"/>
    <w:rsid w:val="006E2FC4"/>
    <w:rsid w:val="006E3CE9"/>
    <w:rsid w:val="006E3ED1"/>
    <w:rsid w:val="006E49AB"/>
    <w:rsid w:val="006E4B5E"/>
    <w:rsid w:val="006E5696"/>
    <w:rsid w:val="006E580E"/>
    <w:rsid w:val="006E6F4C"/>
    <w:rsid w:val="006E732C"/>
    <w:rsid w:val="006E788E"/>
    <w:rsid w:val="006F0C41"/>
    <w:rsid w:val="006F11C4"/>
    <w:rsid w:val="006F2C64"/>
    <w:rsid w:val="006F3094"/>
    <w:rsid w:val="006F5199"/>
    <w:rsid w:val="006F5411"/>
    <w:rsid w:val="006F54AD"/>
    <w:rsid w:val="006F5621"/>
    <w:rsid w:val="006F568A"/>
    <w:rsid w:val="006F56E1"/>
    <w:rsid w:val="006F5878"/>
    <w:rsid w:val="006F5D83"/>
    <w:rsid w:val="006F693D"/>
    <w:rsid w:val="006F6D33"/>
    <w:rsid w:val="006F7772"/>
    <w:rsid w:val="006F7810"/>
    <w:rsid w:val="006F7FBF"/>
    <w:rsid w:val="00700046"/>
    <w:rsid w:val="00700121"/>
    <w:rsid w:val="00700A36"/>
    <w:rsid w:val="0070179A"/>
    <w:rsid w:val="00702AAE"/>
    <w:rsid w:val="00702D14"/>
    <w:rsid w:val="00702F8F"/>
    <w:rsid w:val="007030ED"/>
    <w:rsid w:val="007038D8"/>
    <w:rsid w:val="00704023"/>
    <w:rsid w:val="00706442"/>
    <w:rsid w:val="007065FB"/>
    <w:rsid w:val="00706643"/>
    <w:rsid w:val="00707026"/>
    <w:rsid w:val="00707613"/>
    <w:rsid w:val="00707D0A"/>
    <w:rsid w:val="00707E3D"/>
    <w:rsid w:val="00707F94"/>
    <w:rsid w:val="00710502"/>
    <w:rsid w:val="00710C82"/>
    <w:rsid w:val="00711D3A"/>
    <w:rsid w:val="007121EF"/>
    <w:rsid w:val="007126BD"/>
    <w:rsid w:val="007132C1"/>
    <w:rsid w:val="00713548"/>
    <w:rsid w:val="007137D4"/>
    <w:rsid w:val="00713920"/>
    <w:rsid w:val="00714A59"/>
    <w:rsid w:val="00715243"/>
    <w:rsid w:val="00716E08"/>
    <w:rsid w:val="007170C8"/>
    <w:rsid w:val="007171CC"/>
    <w:rsid w:val="00720AE2"/>
    <w:rsid w:val="007212EC"/>
    <w:rsid w:val="00722130"/>
    <w:rsid w:val="00722A81"/>
    <w:rsid w:val="00722B7D"/>
    <w:rsid w:val="00722D9E"/>
    <w:rsid w:val="00722E37"/>
    <w:rsid w:val="007248BC"/>
    <w:rsid w:val="00724CEE"/>
    <w:rsid w:val="00725CBF"/>
    <w:rsid w:val="00726312"/>
    <w:rsid w:val="007274B1"/>
    <w:rsid w:val="007304E0"/>
    <w:rsid w:val="00730A40"/>
    <w:rsid w:val="00731391"/>
    <w:rsid w:val="007314C2"/>
    <w:rsid w:val="00731EB2"/>
    <w:rsid w:val="007324D1"/>
    <w:rsid w:val="00733317"/>
    <w:rsid w:val="007338C4"/>
    <w:rsid w:val="007343C7"/>
    <w:rsid w:val="0073463E"/>
    <w:rsid w:val="0073476E"/>
    <w:rsid w:val="007349B7"/>
    <w:rsid w:val="00734A2E"/>
    <w:rsid w:val="00734CC4"/>
    <w:rsid w:val="00736295"/>
    <w:rsid w:val="00736E36"/>
    <w:rsid w:val="007377A7"/>
    <w:rsid w:val="0074007B"/>
    <w:rsid w:val="00740398"/>
    <w:rsid w:val="007405DD"/>
    <w:rsid w:val="00740726"/>
    <w:rsid w:val="007415A4"/>
    <w:rsid w:val="00742184"/>
    <w:rsid w:val="00743B0C"/>
    <w:rsid w:val="00743C84"/>
    <w:rsid w:val="00744CA9"/>
    <w:rsid w:val="00744DD8"/>
    <w:rsid w:val="0074673D"/>
    <w:rsid w:val="00746FE5"/>
    <w:rsid w:val="0074759D"/>
    <w:rsid w:val="00747D49"/>
    <w:rsid w:val="00750C59"/>
    <w:rsid w:val="00751085"/>
    <w:rsid w:val="00751379"/>
    <w:rsid w:val="00751478"/>
    <w:rsid w:val="00751849"/>
    <w:rsid w:val="00751BAF"/>
    <w:rsid w:val="00752D2A"/>
    <w:rsid w:val="00753722"/>
    <w:rsid w:val="00753912"/>
    <w:rsid w:val="00753ED1"/>
    <w:rsid w:val="00754758"/>
    <w:rsid w:val="00755D17"/>
    <w:rsid w:val="007561AE"/>
    <w:rsid w:val="00757831"/>
    <w:rsid w:val="007579E4"/>
    <w:rsid w:val="00757B6E"/>
    <w:rsid w:val="00760491"/>
    <w:rsid w:val="00760FCD"/>
    <w:rsid w:val="0076164F"/>
    <w:rsid w:val="00761EE9"/>
    <w:rsid w:val="00761F2F"/>
    <w:rsid w:val="00763167"/>
    <w:rsid w:val="007633D4"/>
    <w:rsid w:val="00763852"/>
    <w:rsid w:val="0076472A"/>
    <w:rsid w:val="0076475A"/>
    <w:rsid w:val="00764C28"/>
    <w:rsid w:val="007653F8"/>
    <w:rsid w:val="0076573C"/>
    <w:rsid w:val="00765927"/>
    <w:rsid w:val="00766755"/>
    <w:rsid w:val="007668EC"/>
    <w:rsid w:val="00766E01"/>
    <w:rsid w:val="0076779C"/>
    <w:rsid w:val="00770579"/>
    <w:rsid w:val="00770904"/>
    <w:rsid w:val="00771215"/>
    <w:rsid w:val="00771479"/>
    <w:rsid w:val="00771A23"/>
    <w:rsid w:val="00771BA3"/>
    <w:rsid w:val="0077231F"/>
    <w:rsid w:val="00772479"/>
    <w:rsid w:val="0077265C"/>
    <w:rsid w:val="00772CB6"/>
    <w:rsid w:val="00772E14"/>
    <w:rsid w:val="00772E46"/>
    <w:rsid w:val="0077309A"/>
    <w:rsid w:val="00774DFD"/>
    <w:rsid w:val="00775F74"/>
    <w:rsid w:val="00775F92"/>
    <w:rsid w:val="0077634F"/>
    <w:rsid w:val="00776ECE"/>
    <w:rsid w:val="00776F9E"/>
    <w:rsid w:val="00777174"/>
    <w:rsid w:val="00777385"/>
    <w:rsid w:val="00777803"/>
    <w:rsid w:val="0078048B"/>
    <w:rsid w:val="007805A4"/>
    <w:rsid w:val="00781020"/>
    <w:rsid w:val="00781D46"/>
    <w:rsid w:val="00782040"/>
    <w:rsid w:val="00782329"/>
    <w:rsid w:val="00782A53"/>
    <w:rsid w:val="00782F94"/>
    <w:rsid w:val="00783370"/>
    <w:rsid w:val="0078343A"/>
    <w:rsid w:val="00783654"/>
    <w:rsid w:val="007841EF"/>
    <w:rsid w:val="0078500E"/>
    <w:rsid w:val="007852C0"/>
    <w:rsid w:val="0078601C"/>
    <w:rsid w:val="00790104"/>
    <w:rsid w:val="007901E0"/>
    <w:rsid w:val="00790684"/>
    <w:rsid w:val="0079122D"/>
    <w:rsid w:val="007914A3"/>
    <w:rsid w:val="007925E7"/>
    <w:rsid w:val="0079382B"/>
    <w:rsid w:val="00795A18"/>
    <w:rsid w:val="0079657B"/>
    <w:rsid w:val="00797A7D"/>
    <w:rsid w:val="007A0069"/>
    <w:rsid w:val="007A0BAA"/>
    <w:rsid w:val="007A0C1E"/>
    <w:rsid w:val="007A158C"/>
    <w:rsid w:val="007A16CA"/>
    <w:rsid w:val="007A1FF2"/>
    <w:rsid w:val="007A301A"/>
    <w:rsid w:val="007A3A45"/>
    <w:rsid w:val="007A505A"/>
    <w:rsid w:val="007A5C21"/>
    <w:rsid w:val="007A5F34"/>
    <w:rsid w:val="007A735C"/>
    <w:rsid w:val="007B01CD"/>
    <w:rsid w:val="007B06E8"/>
    <w:rsid w:val="007B0D12"/>
    <w:rsid w:val="007B153B"/>
    <w:rsid w:val="007B30A4"/>
    <w:rsid w:val="007B30BA"/>
    <w:rsid w:val="007B496B"/>
    <w:rsid w:val="007B4B79"/>
    <w:rsid w:val="007B5BA5"/>
    <w:rsid w:val="007B615E"/>
    <w:rsid w:val="007B68FA"/>
    <w:rsid w:val="007B6BDB"/>
    <w:rsid w:val="007B6D6E"/>
    <w:rsid w:val="007B7D6B"/>
    <w:rsid w:val="007B7EAC"/>
    <w:rsid w:val="007C04EC"/>
    <w:rsid w:val="007C2134"/>
    <w:rsid w:val="007C2CF6"/>
    <w:rsid w:val="007C2CF8"/>
    <w:rsid w:val="007C2F13"/>
    <w:rsid w:val="007C39B1"/>
    <w:rsid w:val="007C5912"/>
    <w:rsid w:val="007C6649"/>
    <w:rsid w:val="007C684C"/>
    <w:rsid w:val="007C6975"/>
    <w:rsid w:val="007C698B"/>
    <w:rsid w:val="007C7642"/>
    <w:rsid w:val="007C7F3F"/>
    <w:rsid w:val="007D035D"/>
    <w:rsid w:val="007D07F5"/>
    <w:rsid w:val="007D0811"/>
    <w:rsid w:val="007D0B98"/>
    <w:rsid w:val="007D10E2"/>
    <w:rsid w:val="007D1824"/>
    <w:rsid w:val="007D2059"/>
    <w:rsid w:val="007D297A"/>
    <w:rsid w:val="007D2BD4"/>
    <w:rsid w:val="007D2BD6"/>
    <w:rsid w:val="007D2CA2"/>
    <w:rsid w:val="007D2E49"/>
    <w:rsid w:val="007D3FE8"/>
    <w:rsid w:val="007D4F2C"/>
    <w:rsid w:val="007D511C"/>
    <w:rsid w:val="007D599D"/>
    <w:rsid w:val="007D61BB"/>
    <w:rsid w:val="007D638D"/>
    <w:rsid w:val="007D648D"/>
    <w:rsid w:val="007D69B4"/>
    <w:rsid w:val="007D78BD"/>
    <w:rsid w:val="007D7A78"/>
    <w:rsid w:val="007E0A6C"/>
    <w:rsid w:val="007E0CBC"/>
    <w:rsid w:val="007E0D72"/>
    <w:rsid w:val="007E0FEB"/>
    <w:rsid w:val="007E2DB6"/>
    <w:rsid w:val="007E2E01"/>
    <w:rsid w:val="007E421A"/>
    <w:rsid w:val="007E49D1"/>
    <w:rsid w:val="007E689C"/>
    <w:rsid w:val="007E723D"/>
    <w:rsid w:val="007E78A6"/>
    <w:rsid w:val="007F05D4"/>
    <w:rsid w:val="007F0E73"/>
    <w:rsid w:val="007F1185"/>
    <w:rsid w:val="007F11FC"/>
    <w:rsid w:val="007F1B1F"/>
    <w:rsid w:val="007F2102"/>
    <w:rsid w:val="007F2A3E"/>
    <w:rsid w:val="007F446D"/>
    <w:rsid w:val="007F44C3"/>
    <w:rsid w:val="007F45A0"/>
    <w:rsid w:val="007F6C10"/>
    <w:rsid w:val="007F7FCD"/>
    <w:rsid w:val="0080041B"/>
    <w:rsid w:val="00800575"/>
    <w:rsid w:val="00800A60"/>
    <w:rsid w:val="00801028"/>
    <w:rsid w:val="00801A8E"/>
    <w:rsid w:val="00801E9C"/>
    <w:rsid w:val="00802038"/>
    <w:rsid w:val="008020F6"/>
    <w:rsid w:val="00802419"/>
    <w:rsid w:val="00803369"/>
    <w:rsid w:val="008040D2"/>
    <w:rsid w:val="008052AA"/>
    <w:rsid w:val="008054FD"/>
    <w:rsid w:val="00805519"/>
    <w:rsid w:val="00805CCB"/>
    <w:rsid w:val="00806364"/>
    <w:rsid w:val="0080747F"/>
    <w:rsid w:val="008076B8"/>
    <w:rsid w:val="00807AC9"/>
    <w:rsid w:val="00810B6D"/>
    <w:rsid w:val="00810EE6"/>
    <w:rsid w:val="0081110B"/>
    <w:rsid w:val="00811E12"/>
    <w:rsid w:val="008121D3"/>
    <w:rsid w:val="00815D51"/>
    <w:rsid w:val="008160D2"/>
    <w:rsid w:val="00817537"/>
    <w:rsid w:val="008175F7"/>
    <w:rsid w:val="00817639"/>
    <w:rsid w:val="0082047E"/>
    <w:rsid w:val="00820D9B"/>
    <w:rsid w:val="00821A3D"/>
    <w:rsid w:val="00821BD9"/>
    <w:rsid w:val="0082201E"/>
    <w:rsid w:val="008220D2"/>
    <w:rsid w:val="008228D1"/>
    <w:rsid w:val="00822AB9"/>
    <w:rsid w:val="00822FC0"/>
    <w:rsid w:val="00823B07"/>
    <w:rsid w:val="00823BAB"/>
    <w:rsid w:val="00823DE5"/>
    <w:rsid w:val="00824E61"/>
    <w:rsid w:val="00825050"/>
    <w:rsid w:val="00825094"/>
    <w:rsid w:val="008252EF"/>
    <w:rsid w:val="008261CF"/>
    <w:rsid w:val="008264B4"/>
    <w:rsid w:val="00827443"/>
    <w:rsid w:val="0083069A"/>
    <w:rsid w:val="00830799"/>
    <w:rsid w:val="00830F18"/>
    <w:rsid w:val="00831191"/>
    <w:rsid w:val="008311C7"/>
    <w:rsid w:val="00831759"/>
    <w:rsid w:val="00832D33"/>
    <w:rsid w:val="0083358D"/>
    <w:rsid w:val="00833B48"/>
    <w:rsid w:val="00833ECC"/>
    <w:rsid w:val="008366F6"/>
    <w:rsid w:val="00840B8A"/>
    <w:rsid w:val="00840EA0"/>
    <w:rsid w:val="00842B81"/>
    <w:rsid w:val="00843230"/>
    <w:rsid w:val="00843533"/>
    <w:rsid w:val="0084366D"/>
    <w:rsid w:val="0084398D"/>
    <w:rsid w:val="00843DF9"/>
    <w:rsid w:val="008443E1"/>
    <w:rsid w:val="00844431"/>
    <w:rsid w:val="0084465C"/>
    <w:rsid w:val="00844AA5"/>
    <w:rsid w:val="00844DB8"/>
    <w:rsid w:val="00846137"/>
    <w:rsid w:val="00846BC1"/>
    <w:rsid w:val="00847762"/>
    <w:rsid w:val="00847A5F"/>
    <w:rsid w:val="0085076C"/>
    <w:rsid w:val="00850E02"/>
    <w:rsid w:val="008518CD"/>
    <w:rsid w:val="00851BB7"/>
    <w:rsid w:val="00851E18"/>
    <w:rsid w:val="008531FA"/>
    <w:rsid w:val="008532F1"/>
    <w:rsid w:val="00854CB2"/>
    <w:rsid w:val="00854E9D"/>
    <w:rsid w:val="008552C1"/>
    <w:rsid w:val="00855916"/>
    <w:rsid w:val="00855C5B"/>
    <w:rsid w:val="00855FA2"/>
    <w:rsid w:val="00856AB4"/>
    <w:rsid w:val="008574F1"/>
    <w:rsid w:val="0085758B"/>
    <w:rsid w:val="00857B9D"/>
    <w:rsid w:val="00857F8B"/>
    <w:rsid w:val="0086027C"/>
    <w:rsid w:val="00860457"/>
    <w:rsid w:val="00860FBC"/>
    <w:rsid w:val="00861459"/>
    <w:rsid w:val="00861600"/>
    <w:rsid w:val="008619D4"/>
    <w:rsid w:val="00861B19"/>
    <w:rsid w:val="008625D1"/>
    <w:rsid w:val="00862AA1"/>
    <w:rsid w:val="00862E32"/>
    <w:rsid w:val="008639C3"/>
    <w:rsid w:val="00863D4D"/>
    <w:rsid w:val="0086437D"/>
    <w:rsid w:val="00864F14"/>
    <w:rsid w:val="00865136"/>
    <w:rsid w:val="0086601A"/>
    <w:rsid w:val="00866507"/>
    <w:rsid w:val="008665EA"/>
    <w:rsid w:val="00866C45"/>
    <w:rsid w:val="008705AA"/>
    <w:rsid w:val="0087115F"/>
    <w:rsid w:val="0087132D"/>
    <w:rsid w:val="00871869"/>
    <w:rsid w:val="00871E9E"/>
    <w:rsid w:val="00871EFF"/>
    <w:rsid w:val="00873677"/>
    <w:rsid w:val="008736E5"/>
    <w:rsid w:val="00874174"/>
    <w:rsid w:val="008747B2"/>
    <w:rsid w:val="008752BC"/>
    <w:rsid w:val="0087584E"/>
    <w:rsid w:val="00875AF3"/>
    <w:rsid w:val="00875B71"/>
    <w:rsid w:val="00875F90"/>
    <w:rsid w:val="00876827"/>
    <w:rsid w:val="00876F77"/>
    <w:rsid w:val="00877DEB"/>
    <w:rsid w:val="00880652"/>
    <w:rsid w:val="00880FE5"/>
    <w:rsid w:val="00881280"/>
    <w:rsid w:val="008818D7"/>
    <w:rsid w:val="00881D51"/>
    <w:rsid w:val="008827EF"/>
    <w:rsid w:val="00883373"/>
    <w:rsid w:val="00883480"/>
    <w:rsid w:val="008839AB"/>
    <w:rsid w:val="00884AFC"/>
    <w:rsid w:val="00885B65"/>
    <w:rsid w:val="008861C0"/>
    <w:rsid w:val="00886926"/>
    <w:rsid w:val="00886B71"/>
    <w:rsid w:val="00886F06"/>
    <w:rsid w:val="0088713F"/>
    <w:rsid w:val="00887543"/>
    <w:rsid w:val="00887C94"/>
    <w:rsid w:val="008904D9"/>
    <w:rsid w:val="00890C9A"/>
    <w:rsid w:val="00890D21"/>
    <w:rsid w:val="008911B7"/>
    <w:rsid w:val="00891309"/>
    <w:rsid w:val="00891CC2"/>
    <w:rsid w:val="0089357F"/>
    <w:rsid w:val="008949E6"/>
    <w:rsid w:val="00895A03"/>
    <w:rsid w:val="00896125"/>
    <w:rsid w:val="00896E7F"/>
    <w:rsid w:val="00897AE5"/>
    <w:rsid w:val="00897B28"/>
    <w:rsid w:val="00897D7D"/>
    <w:rsid w:val="00897E57"/>
    <w:rsid w:val="008A211A"/>
    <w:rsid w:val="008A2154"/>
    <w:rsid w:val="008A3FB2"/>
    <w:rsid w:val="008A407D"/>
    <w:rsid w:val="008A44F5"/>
    <w:rsid w:val="008A4582"/>
    <w:rsid w:val="008A56F0"/>
    <w:rsid w:val="008A59A9"/>
    <w:rsid w:val="008A5C66"/>
    <w:rsid w:val="008A6070"/>
    <w:rsid w:val="008A632B"/>
    <w:rsid w:val="008A6508"/>
    <w:rsid w:val="008A6821"/>
    <w:rsid w:val="008B123D"/>
    <w:rsid w:val="008B13CF"/>
    <w:rsid w:val="008B1E05"/>
    <w:rsid w:val="008B2A4F"/>
    <w:rsid w:val="008B2C57"/>
    <w:rsid w:val="008B2D91"/>
    <w:rsid w:val="008B2F1A"/>
    <w:rsid w:val="008B34BB"/>
    <w:rsid w:val="008B365C"/>
    <w:rsid w:val="008B3818"/>
    <w:rsid w:val="008B44DC"/>
    <w:rsid w:val="008B4ABD"/>
    <w:rsid w:val="008B53BB"/>
    <w:rsid w:val="008B5E17"/>
    <w:rsid w:val="008B61E4"/>
    <w:rsid w:val="008B72F6"/>
    <w:rsid w:val="008B7411"/>
    <w:rsid w:val="008C16A6"/>
    <w:rsid w:val="008C211A"/>
    <w:rsid w:val="008C484F"/>
    <w:rsid w:val="008C4DF3"/>
    <w:rsid w:val="008C545E"/>
    <w:rsid w:val="008C59E5"/>
    <w:rsid w:val="008C622B"/>
    <w:rsid w:val="008C63BF"/>
    <w:rsid w:val="008C6A20"/>
    <w:rsid w:val="008C77A6"/>
    <w:rsid w:val="008D1063"/>
    <w:rsid w:val="008D12E6"/>
    <w:rsid w:val="008D13B7"/>
    <w:rsid w:val="008D21C7"/>
    <w:rsid w:val="008D23FC"/>
    <w:rsid w:val="008D278A"/>
    <w:rsid w:val="008D29D8"/>
    <w:rsid w:val="008D2CE6"/>
    <w:rsid w:val="008D391B"/>
    <w:rsid w:val="008D3A0F"/>
    <w:rsid w:val="008D3ECB"/>
    <w:rsid w:val="008D47E5"/>
    <w:rsid w:val="008D4E80"/>
    <w:rsid w:val="008D4F69"/>
    <w:rsid w:val="008D5833"/>
    <w:rsid w:val="008D584E"/>
    <w:rsid w:val="008D5854"/>
    <w:rsid w:val="008D6DE3"/>
    <w:rsid w:val="008D7326"/>
    <w:rsid w:val="008E1051"/>
    <w:rsid w:val="008E1A38"/>
    <w:rsid w:val="008E23B9"/>
    <w:rsid w:val="008E32ED"/>
    <w:rsid w:val="008E3A8F"/>
    <w:rsid w:val="008E3CCB"/>
    <w:rsid w:val="008E4488"/>
    <w:rsid w:val="008E55BF"/>
    <w:rsid w:val="008E60DB"/>
    <w:rsid w:val="008F0BF0"/>
    <w:rsid w:val="008F0FD3"/>
    <w:rsid w:val="008F3242"/>
    <w:rsid w:val="008F3B45"/>
    <w:rsid w:val="008F3CC5"/>
    <w:rsid w:val="008F4338"/>
    <w:rsid w:val="008F453C"/>
    <w:rsid w:val="008F5B91"/>
    <w:rsid w:val="008F697A"/>
    <w:rsid w:val="008F69D0"/>
    <w:rsid w:val="009014B3"/>
    <w:rsid w:val="0090189D"/>
    <w:rsid w:val="00901CE6"/>
    <w:rsid w:val="00902BC4"/>
    <w:rsid w:val="00903C72"/>
    <w:rsid w:val="00903D25"/>
    <w:rsid w:val="0090534E"/>
    <w:rsid w:val="00905A4E"/>
    <w:rsid w:val="00905B6B"/>
    <w:rsid w:val="009061F3"/>
    <w:rsid w:val="00906DFF"/>
    <w:rsid w:val="00906E44"/>
    <w:rsid w:val="00907F3D"/>
    <w:rsid w:val="00910EE4"/>
    <w:rsid w:val="00911A32"/>
    <w:rsid w:val="009123AB"/>
    <w:rsid w:val="00912417"/>
    <w:rsid w:val="00913AED"/>
    <w:rsid w:val="00914974"/>
    <w:rsid w:val="0091504F"/>
    <w:rsid w:val="009155A3"/>
    <w:rsid w:val="009161C1"/>
    <w:rsid w:val="00917628"/>
    <w:rsid w:val="00917C33"/>
    <w:rsid w:val="00917EA1"/>
    <w:rsid w:val="00920216"/>
    <w:rsid w:val="009209FF"/>
    <w:rsid w:val="00920BF4"/>
    <w:rsid w:val="00920D1F"/>
    <w:rsid w:val="009215B9"/>
    <w:rsid w:val="00921795"/>
    <w:rsid w:val="00921BFF"/>
    <w:rsid w:val="009223C9"/>
    <w:rsid w:val="0092242C"/>
    <w:rsid w:val="00923973"/>
    <w:rsid w:val="009261B0"/>
    <w:rsid w:val="00926DB5"/>
    <w:rsid w:val="00927E49"/>
    <w:rsid w:val="009304B8"/>
    <w:rsid w:val="00931151"/>
    <w:rsid w:val="009313A7"/>
    <w:rsid w:val="00931692"/>
    <w:rsid w:val="0093199F"/>
    <w:rsid w:val="009325CF"/>
    <w:rsid w:val="00933A3E"/>
    <w:rsid w:val="00933FC0"/>
    <w:rsid w:val="009342C3"/>
    <w:rsid w:val="00934840"/>
    <w:rsid w:val="0093505B"/>
    <w:rsid w:val="009357BE"/>
    <w:rsid w:val="009358A1"/>
    <w:rsid w:val="00935938"/>
    <w:rsid w:val="00935B26"/>
    <w:rsid w:val="00935BD2"/>
    <w:rsid w:val="00936B83"/>
    <w:rsid w:val="009379AF"/>
    <w:rsid w:val="00940441"/>
    <w:rsid w:val="00940777"/>
    <w:rsid w:val="00941D56"/>
    <w:rsid w:val="00941F97"/>
    <w:rsid w:val="0094323B"/>
    <w:rsid w:val="0094363F"/>
    <w:rsid w:val="00943BB9"/>
    <w:rsid w:val="009450BB"/>
    <w:rsid w:val="00945633"/>
    <w:rsid w:val="00945F22"/>
    <w:rsid w:val="0094601B"/>
    <w:rsid w:val="009462D7"/>
    <w:rsid w:val="009471DA"/>
    <w:rsid w:val="00947E1B"/>
    <w:rsid w:val="009506C6"/>
    <w:rsid w:val="009509FF"/>
    <w:rsid w:val="009515A3"/>
    <w:rsid w:val="009520E4"/>
    <w:rsid w:val="00952810"/>
    <w:rsid w:val="00953239"/>
    <w:rsid w:val="00953493"/>
    <w:rsid w:val="00953E04"/>
    <w:rsid w:val="00954215"/>
    <w:rsid w:val="00954A1A"/>
    <w:rsid w:val="0095519C"/>
    <w:rsid w:val="0095532B"/>
    <w:rsid w:val="009553C6"/>
    <w:rsid w:val="009559B2"/>
    <w:rsid w:val="00956106"/>
    <w:rsid w:val="009575D6"/>
    <w:rsid w:val="0095773D"/>
    <w:rsid w:val="00957B1D"/>
    <w:rsid w:val="00960AB5"/>
    <w:rsid w:val="00960EF6"/>
    <w:rsid w:val="009624BF"/>
    <w:rsid w:val="00963A5D"/>
    <w:rsid w:val="00963F12"/>
    <w:rsid w:val="00964A23"/>
    <w:rsid w:val="00966434"/>
    <w:rsid w:val="0096643A"/>
    <w:rsid w:val="00966C20"/>
    <w:rsid w:val="00967798"/>
    <w:rsid w:val="00967B4F"/>
    <w:rsid w:val="00970EB5"/>
    <w:rsid w:val="009710BF"/>
    <w:rsid w:val="00971C51"/>
    <w:rsid w:val="00971F26"/>
    <w:rsid w:val="0097276E"/>
    <w:rsid w:val="009729F5"/>
    <w:rsid w:val="00973CF9"/>
    <w:rsid w:val="00974041"/>
    <w:rsid w:val="009744B5"/>
    <w:rsid w:val="0097491D"/>
    <w:rsid w:val="00975086"/>
    <w:rsid w:val="009779F3"/>
    <w:rsid w:val="00977C9A"/>
    <w:rsid w:val="00977CFF"/>
    <w:rsid w:val="00980356"/>
    <w:rsid w:val="009803D1"/>
    <w:rsid w:val="00980AF3"/>
    <w:rsid w:val="00980E24"/>
    <w:rsid w:val="009817C1"/>
    <w:rsid w:val="0098299C"/>
    <w:rsid w:val="00983200"/>
    <w:rsid w:val="00983848"/>
    <w:rsid w:val="00985133"/>
    <w:rsid w:val="009851CF"/>
    <w:rsid w:val="0098572C"/>
    <w:rsid w:val="009858B3"/>
    <w:rsid w:val="009858CF"/>
    <w:rsid w:val="00986108"/>
    <w:rsid w:val="00986184"/>
    <w:rsid w:val="00986BFE"/>
    <w:rsid w:val="00987C2B"/>
    <w:rsid w:val="00990AA8"/>
    <w:rsid w:val="00991A81"/>
    <w:rsid w:val="00991B1E"/>
    <w:rsid w:val="00993436"/>
    <w:rsid w:val="009940ED"/>
    <w:rsid w:val="00995229"/>
    <w:rsid w:val="00996573"/>
    <w:rsid w:val="0099678B"/>
    <w:rsid w:val="00996A9D"/>
    <w:rsid w:val="00996B3C"/>
    <w:rsid w:val="00996BD1"/>
    <w:rsid w:val="00997CF3"/>
    <w:rsid w:val="009A079A"/>
    <w:rsid w:val="009A1DEC"/>
    <w:rsid w:val="009A1F5A"/>
    <w:rsid w:val="009A28A5"/>
    <w:rsid w:val="009A2D8C"/>
    <w:rsid w:val="009A4093"/>
    <w:rsid w:val="009A42EE"/>
    <w:rsid w:val="009A45BC"/>
    <w:rsid w:val="009A5A4B"/>
    <w:rsid w:val="009A5E17"/>
    <w:rsid w:val="009A6600"/>
    <w:rsid w:val="009A6B86"/>
    <w:rsid w:val="009A6EC7"/>
    <w:rsid w:val="009A7217"/>
    <w:rsid w:val="009A75FF"/>
    <w:rsid w:val="009B0745"/>
    <w:rsid w:val="009B0965"/>
    <w:rsid w:val="009B104F"/>
    <w:rsid w:val="009B1405"/>
    <w:rsid w:val="009B1FD8"/>
    <w:rsid w:val="009B30AB"/>
    <w:rsid w:val="009B4193"/>
    <w:rsid w:val="009B4325"/>
    <w:rsid w:val="009B441F"/>
    <w:rsid w:val="009B4568"/>
    <w:rsid w:val="009B45AE"/>
    <w:rsid w:val="009B62F8"/>
    <w:rsid w:val="009B656B"/>
    <w:rsid w:val="009B6A8A"/>
    <w:rsid w:val="009B7514"/>
    <w:rsid w:val="009C03DA"/>
    <w:rsid w:val="009C1890"/>
    <w:rsid w:val="009C1B38"/>
    <w:rsid w:val="009C221E"/>
    <w:rsid w:val="009C2447"/>
    <w:rsid w:val="009C274F"/>
    <w:rsid w:val="009C27F3"/>
    <w:rsid w:val="009C2FD2"/>
    <w:rsid w:val="009C466D"/>
    <w:rsid w:val="009C4F4B"/>
    <w:rsid w:val="009C5311"/>
    <w:rsid w:val="009C58DD"/>
    <w:rsid w:val="009C6626"/>
    <w:rsid w:val="009C66A6"/>
    <w:rsid w:val="009C77D7"/>
    <w:rsid w:val="009C7B65"/>
    <w:rsid w:val="009D06E6"/>
    <w:rsid w:val="009D184E"/>
    <w:rsid w:val="009D2B24"/>
    <w:rsid w:val="009D3905"/>
    <w:rsid w:val="009D39E1"/>
    <w:rsid w:val="009D436C"/>
    <w:rsid w:val="009D4774"/>
    <w:rsid w:val="009D48EE"/>
    <w:rsid w:val="009D505C"/>
    <w:rsid w:val="009D5085"/>
    <w:rsid w:val="009D5163"/>
    <w:rsid w:val="009D6192"/>
    <w:rsid w:val="009D671F"/>
    <w:rsid w:val="009D6919"/>
    <w:rsid w:val="009D75FA"/>
    <w:rsid w:val="009D7EED"/>
    <w:rsid w:val="009E0A34"/>
    <w:rsid w:val="009E1BA4"/>
    <w:rsid w:val="009E2902"/>
    <w:rsid w:val="009E36C2"/>
    <w:rsid w:val="009E3FDD"/>
    <w:rsid w:val="009E45CA"/>
    <w:rsid w:val="009E4881"/>
    <w:rsid w:val="009E4CA0"/>
    <w:rsid w:val="009E54E4"/>
    <w:rsid w:val="009E630C"/>
    <w:rsid w:val="009E6EA3"/>
    <w:rsid w:val="009E71DE"/>
    <w:rsid w:val="009E72AA"/>
    <w:rsid w:val="009E73CD"/>
    <w:rsid w:val="009E77FE"/>
    <w:rsid w:val="009F0C40"/>
    <w:rsid w:val="009F1875"/>
    <w:rsid w:val="009F2088"/>
    <w:rsid w:val="009F4416"/>
    <w:rsid w:val="009F4678"/>
    <w:rsid w:val="009F5E2F"/>
    <w:rsid w:val="009F5F1D"/>
    <w:rsid w:val="009F6062"/>
    <w:rsid w:val="009F61C0"/>
    <w:rsid w:val="009F6559"/>
    <w:rsid w:val="009F65E8"/>
    <w:rsid w:val="009F70D3"/>
    <w:rsid w:val="00A0041E"/>
    <w:rsid w:val="00A00AB6"/>
    <w:rsid w:val="00A02B8C"/>
    <w:rsid w:val="00A03533"/>
    <w:rsid w:val="00A03797"/>
    <w:rsid w:val="00A03C68"/>
    <w:rsid w:val="00A04115"/>
    <w:rsid w:val="00A05A48"/>
    <w:rsid w:val="00A06175"/>
    <w:rsid w:val="00A06290"/>
    <w:rsid w:val="00A0735B"/>
    <w:rsid w:val="00A07943"/>
    <w:rsid w:val="00A10810"/>
    <w:rsid w:val="00A10F40"/>
    <w:rsid w:val="00A110F0"/>
    <w:rsid w:val="00A11ADD"/>
    <w:rsid w:val="00A1230B"/>
    <w:rsid w:val="00A123E7"/>
    <w:rsid w:val="00A128C5"/>
    <w:rsid w:val="00A13952"/>
    <w:rsid w:val="00A14DD9"/>
    <w:rsid w:val="00A1577D"/>
    <w:rsid w:val="00A15FF0"/>
    <w:rsid w:val="00A1635C"/>
    <w:rsid w:val="00A1648E"/>
    <w:rsid w:val="00A16512"/>
    <w:rsid w:val="00A16906"/>
    <w:rsid w:val="00A17118"/>
    <w:rsid w:val="00A17C66"/>
    <w:rsid w:val="00A205E5"/>
    <w:rsid w:val="00A217C1"/>
    <w:rsid w:val="00A21A8C"/>
    <w:rsid w:val="00A22966"/>
    <w:rsid w:val="00A237FD"/>
    <w:rsid w:val="00A23CA7"/>
    <w:rsid w:val="00A24283"/>
    <w:rsid w:val="00A25842"/>
    <w:rsid w:val="00A262AC"/>
    <w:rsid w:val="00A2650E"/>
    <w:rsid w:val="00A26C95"/>
    <w:rsid w:val="00A27ACB"/>
    <w:rsid w:val="00A27D38"/>
    <w:rsid w:val="00A3061D"/>
    <w:rsid w:val="00A30EFC"/>
    <w:rsid w:val="00A31409"/>
    <w:rsid w:val="00A335AE"/>
    <w:rsid w:val="00A3371B"/>
    <w:rsid w:val="00A3387E"/>
    <w:rsid w:val="00A33E73"/>
    <w:rsid w:val="00A34001"/>
    <w:rsid w:val="00A34D39"/>
    <w:rsid w:val="00A35D18"/>
    <w:rsid w:val="00A35EBA"/>
    <w:rsid w:val="00A36662"/>
    <w:rsid w:val="00A36C37"/>
    <w:rsid w:val="00A41192"/>
    <w:rsid w:val="00A412D4"/>
    <w:rsid w:val="00A41D16"/>
    <w:rsid w:val="00A41E8D"/>
    <w:rsid w:val="00A41F69"/>
    <w:rsid w:val="00A423AF"/>
    <w:rsid w:val="00A42667"/>
    <w:rsid w:val="00A42AD1"/>
    <w:rsid w:val="00A43FD4"/>
    <w:rsid w:val="00A44607"/>
    <w:rsid w:val="00A44C9C"/>
    <w:rsid w:val="00A45246"/>
    <w:rsid w:val="00A47D41"/>
    <w:rsid w:val="00A47E1A"/>
    <w:rsid w:val="00A51914"/>
    <w:rsid w:val="00A5217A"/>
    <w:rsid w:val="00A521C9"/>
    <w:rsid w:val="00A52480"/>
    <w:rsid w:val="00A528E7"/>
    <w:rsid w:val="00A52C24"/>
    <w:rsid w:val="00A53679"/>
    <w:rsid w:val="00A53767"/>
    <w:rsid w:val="00A542BC"/>
    <w:rsid w:val="00A5463D"/>
    <w:rsid w:val="00A5491E"/>
    <w:rsid w:val="00A54DE0"/>
    <w:rsid w:val="00A55259"/>
    <w:rsid w:val="00A55E2A"/>
    <w:rsid w:val="00A55F4D"/>
    <w:rsid w:val="00A56BA4"/>
    <w:rsid w:val="00A56F1B"/>
    <w:rsid w:val="00A60E7E"/>
    <w:rsid w:val="00A61528"/>
    <w:rsid w:val="00A619B6"/>
    <w:rsid w:val="00A61A67"/>
    <w:rsid w:val="00A64067"/>
    <w:rsid w:val="00A64084"/>
    <w:rsid w:val="00A649BC"/>
    <w:rsid w:val="00A655E3"/>
    <w:rsid w:val="00A65A24"/>
    <w:rsid w:val="00A65F44"/>
    <w:rsid w:val="00A668CF"/>
    <w:rsid w:val="00A66F2A"/>
    <w:rsid w:val="00A6725A"/>
    <w:rsid w:val="00A677F9"/>
    <w:rsid w:val="00A7090F"/>
    <w:rsid w:val="00A71C98"/>
    <w:rsid w:val="00A7250F"/>
    <w:rsid w:val="00A7251B"/>
    <w:rsid w:val="00A739B8"/>
    <w:rsid w:val="00A749F9"/>
    <w:rsid w:val="00A75663"/>
    <w:rsid w:val="00A759C7"/>
    <w:rsid w:val="00A766A5"/>
    <w:rsid w:val="00A768A1"/>
    <w:rsid w:val="00A76D56"/>
    <w:rsid w:val="00A77DF3"/>
    <w:rsid w:val="00A804CB"/>
    <w:rsid w:val="00A8058A"/>
    <w:rsid w:val="00A80E4C"/>
    <w:rsid w:val="00A81BDD"/>
    <w:rsid w:val="00A822DC"/>
    <w:rsid w:val="00A836FE"/>
    <w:rsid w:val="00A83B08"/>
    <w:rsid w:val="00A84390"/>
    <w:rsid w:val="00A84F67"/>
    <w:rsid w:val="00A85135"/>
    <w:rsid w:val="00A86C56"/>
    <w:rsid w:val="00A86D32"/>
    <w:rsid w:val="00A90CC9"/>
    <w:rsid w:val="00A912AC"/>
    <w:rsid w:val="00A917C8"/>
    <w:rsid w:val="00A91E1E"/>
    <w:rsid w:val="00A92314"/>
    <w:rsid w:val="00A939B6"/>
    <w:rsid w:val="00A93B5A"/>
    <w:rsid w:val="00A93FD4"/>
    <w:rsid w:val="00A94FBF"/>
    <w:rsid w:val="00A9720C"/>
    <w:rsid w:val="00A978DB"/>
    <w:rsid w:val="00AA10D2"/>
    <w:rsid w:val="00AA1D00"/>
    <w:rsid w:val="00AA27F6"/>
    <w:rsid w:val="00AA2A91"/>
    <w:rsid w:val="00AA2FFE"/>
    <w:rsid w:val="00AA3DB9"/>
    <w:rsid w:val="00AA4838"/>
    <w:rsid w:val="00AA5258"/>
    <w:rsid w:val="00AA5261"/>
    <w:rsid w:val="00AA5289"/>
    <w:rsid w:val="00AA5798"/>
    <w:rsid w:val="00AA5A8F"/>
    <w:rsid w:val="00AA5F71"/>
    <w:rsid w:val="00AA5FA0"/>
    <w:rsid w:val="00AA67A4"/>
    <w:rsid w:val="00AA6A97"/>
    <w:rsid w:val="00AB0838"/>
    <w:rsid w:val="00AB154B"/>
    <w:rsid w:val="00AB18AE"/>
    <w:rsid w:val="00AB1B16"/>
    <w:rsid w:val="00AB1DF6"/>
    <w:rsid w:val="00AB1EDB"/>
    <w:rsid w:val="00AB1FE0"/>
    <w:rsid w:val="00AB223A"/>
    <w:rsid w:val="00AB2441"/>
    <w:rsid w:val="00AB2FBD"/>
    <w:rsid w:val="00AB2FCF"/>
    <w:rsid w:val="00AB3E94"/>
    <w:rsid w:val="00AB5EE0"/>
    <w:rsid w:val="00AB65D2"/>
    <w:rsid w:val="00AB7A22"/>
    <w:rsid w:val="00AB7CF7"/>
    <w:rsid w:val="00AB7FCB"/>
    <w:rsid w:val="00AC155F"/>
    <w:rsid w:val="00AC29B0"/>
    <w:rsid w:val="00AC2ADD"/>
    <w:rsid w:val="00AC3002"/>
    <w:rsid w:val="00AC4071"/>
    <w:rsid w:val="00AC56C0"/>
    <w:rsid w:val="00AC642D"/>
    <w:rsid w:val="00AC66A2"/>
    <w:rsid w:val="00AC6DFC"/>
    <w:rsid w:val="00AC73D5"/>
    <w:rsid w:val="00AC7653"/>
    <w:rsid w:val="00AC797D"/>
    <w:rsid w:val="00AD03A9"/>
    <w:rsid w:val="00AD0711"/>
    <w:rsid w:val="00AD07D3"/>
    <w:rsid w:val="00AD09B3"/>
    <w:rsid w:val="00AD1116"/>
    <w:rsid w:val="00AD1A08"/>
    <w:rsid w:val="00AD1BF5"/>
    <w:rsid w:val="00AD1C2C"/>
    <w:rsid w:val="00AD2343"/>
    <w:rsid w:val="00AD36A2"/>
    <w:rsid w:val="00AD3B25"/>
    <w:rsid w:val="00AD434B"/>
    <w:rsid w:val="00AD436D"/>
    <w:rsid w:val="00AD45DE"/>
    <w:rsid w:val="00AD4796"/>
    <w:rsid w:val="00AD4907"/>
    <w:rsid w:val="00AD4B7D"/>
    <w:rsid w:val="00AD4C40"/>
    <w:rsid w:val="00AD5D91"/>
    <w:rsid w:val="00AD7433"/>
    <w:rsid w:val="00AE1E0A"/>
    <w:rsid w:val="00AE227F"/>
    <w:rsid w:val="00AE234B"/>
    <w:rsid w:val="00AE26DB"/>
    <w:rsid w:val="00AE2EA7"/>
    <w:rsid w:val="00AE34EC"/>
    <w:rsid w:val="00AE3EFA"/>
    <w:rsid w:val="00AE459A"/>
    <w:rsid w:val="00AE4A13"/>
    <w:rsid w:val="00AE4F98"/>
    <w:rsid w:val="00AE5569"/>
    <w:rsid w:val="00AE5D02"/>
    <w:rsid w:val="00AE6AD8"/>
    <w:rsid w:val="00AE7527"/>
    <w:rsid w:val="00AF0C7A"/>
    <w:rsid w:val="00AF1231"/>
    <w:rsid w:val="00AF17A6"/>
    <w:rsid w:val="00AF193C"/>
    <w:rsid w:val="00AF1F2F"/>
    <w:rsid w:val="00AF42B9"/>
    <w:rsid w:val="00AF44C0"/>
    <w:rsid w:val="00AF603A"/>
    <w:rsid w:val="00AF6569"/>
    <w:rsid w:val="00AF6B5B"/>
    <w:rsid w:val="00AF71C5"/>
    <w:rsid w:val="00AF7A1D"/>
    <w:rsid w:val="00AF7EB8"/>
    <w:rsid w:val="00B006F4"/>
    <w:rsid w:val="00B01FF5"/>
    <w:rsid w:val="00B03715"/>
    <w:rsid w:val="00B03AB8"/>
    <w:rsid w:val="00B03AF8"/>
    <w:rsid w:val="00B04D8C"/>
    <w:rsid w:val="00B064FA"/>
    <w:rsid w:val="00B06E0F"/>
    <w:rsid w:val="00B06E33"/>
    <w:rsid w:val="00B07156"/>
    <w:rsid w:val="00B07400"/>
    <w:rsid w:val="00B07C96"/>
    <w:rsid w:val="00B07E07"/>
    <w:rsid w:val="00B07EA9"/>
    <w:rsid w:val="00B10616"/>
    <w:rsid w:val="00B10779"/>
    <w:rsid w:val="00B10F57"/>
    <w:rsid w:val="00B1207F"/>
    <w:rsid w:val="00B1209A"/>
    <w:rsid w:val="00B13885"/>
    <w:rsid w:val="00B13DF4"/>
    <w:rsid w:val="00B13FA7"/>
    <w:rsid w:val="00B140A4"/>
    <w:rsid w:val="00B14657"/>
    <w:rsid w:val="00B149BD"/>
    <w:rsid w:val="00B14F18"/>
    <w:rsid w:val="00B150B1"/>
    <w:rsid w:val="00B1539D"/>
    <w:rsid w:val="00B1589C"/>
    <w:rsid w:val="00B15F0B"/>
    <w:rsid w:val="00B166B6"/>
    <w:rsid w:val="00B16827"/>
    <w:rsid w:val="00B16EA2"/>
    <w:rsid w:val="00B172B6"/>
    <w:rsid w:val="00B17B32"/>
    <w:rsid w:val="00B17C92"/>
    <w:rsid w:val="00B22A6F"/>
    <w:rsid w:val="00B22B3B"/>
    <w:rsid w:val="00B22E34"/>
    <w:rsid w:val="00B23B7F"/>
    <w:rsid w:val="00B23FEE"/>
    <w:rsid w:val="00B24135"/>
    <w:rsid w:val="00B25733"/>
    <w:rsid w:val="00B26327"/>
    <w:rsid w:val="00B26666"/>
    <w:rsid w:val="00B26D66"/>
    <w:rsid w:val="00B303D3"/>
    <w:rsid w:val="00B30CB7"/>
    <w:rsid w:val="00B30EAD"/>
    <w:rsid w:val="00B31AE4"/>
    <w:rsid w:val="00B31E30"/>
    <w:rsid w:val="00B31F9E"/>
    <w:rsid w:val="00B325E3"/>
    <w:rsid w:val="00B3417A"/>
    <w:rsid w:val="00B343A7"/>
    <w:rsid w:val="00B34551"/>
    <w:rsid w:val="00B34BC5"/>
    <w:rsid w:val="00B34E76"/>
    <w:rsid w:val="00B35172"/>
    <w:rsid w:val="00B36583"/>
    <w:rsid w:val="00B36805"/>
    <w:rsid w:val="00B3774E"/>
    <w:rsid w:val="00B37EA6"/>
    <w:rsid w:val="00B40A2E"/>
    <w:rsid w:val="00B412E3"/>
    <w:rsid w:val="00B425FC"/>
    <w:rsid w:val="00B42780"/>
    <w:rsid w:val="00B42A76"/>
    <w:rsid w:val="00B43410"/>
    <w:rsid w:val="00B43705"/>
    <w:rsid w:val="00B43851"/>
    <w:rsid w:val="00B44F1B"/>
    <w:rsid w:val="00B46643"/>
    <w:rsid w:val="00B46ADA"/>
    <w:rsid w:val="00B47D95"/>
    <w:rsid w:val="00B47E99"/>
    <w:rsid w:val="00B5105F"/>
    <w:rsid w:val="00B51976"/>
    <w:rsid w:val="00B51B96"/>
    <w:rsid w:val="00B528A6"/>
    <w:rsid w:val="00B52F24"/>
    <w:rsid w:val="00B53D52"/>
    <w:rsid w:val="00B54E03"/>
    <w:rsid w:val="00B55732"/>
    <w:rsid w:val="00B56AE3"/>
    <w:rsid w:val="00B572D2"/>
    <w:rsid w:val="00B57915"/>
    <w:rsid w:val="00B57952"/>
    <w:rsid w:val="00B57D5B"/>
    <w:rsid w:val="00B57E57"/>
    <w:rsid w:val="00B60B38"/>
    <w:rsid w:val="00B6186E"/>
    <w:rsid w:val="00B61F74"/>
    <w:rsid w:val="00B62D5E"/>
    <w:rsid w:val="00B64102"/>
    <w:rsid w:val="00B65075"/>
    <w:rsid w:val="00B653ED"/>
    <w:rsid w:val="00B6582A"/>
    <w:rsid w:val="00B66001"/>
    <w:rsid w:val="00B66011"/>
    <w:rsid w:val="00B660C0"/>
    <w:rsid w:val="00B66B4A"/>
    <w:rsid w:val="00B66D52"/>
    <w:rsid w:val="00B6718E"/>
    <w:rsid w:val="00B675EE"/>
    <w:rsid w:val="00B6773F"/>
    <w:rsid w:val="00B706CD"/>
    <w:rsid w:val="00B70B2C"/>
    <w:rsid w:val="00B70F0F"/>
    <w:rsid w:val="00B70F2E"/>
    <w:rsid w:val="00B717A0"/>
    <w:rsid w:val="00B71F2A"/>
    <w:rsid w:val="00B72F1B"/>
    <w:rsid w:val="00B73624"/>
    <w:rsid w:val="00B73D67"/>
    <w:rsid w:val="00B750E5"/>
    <w:rsid w:val="00B75722"/>
    <w:rsid w:val="00B75820"/>
    <w:rsid w:val="00B75AEA"/>
    <w:rsid w:val="00B764FE"/>
    <w:rsid w:val="00B76516"/>
    <w:rsid w:val="00B76DA1"/>
    <w:rsid w:val="00B76E39"/>
    <w:rsid w:val="00B76F9C"/>
    <w:rsid w:val="00B77261"/>
    <w:rsid w:val="00B77615"/>
    <w:rsid w:val="00B804D5"/>
    <w:rsid w:val="00B808C9"/>
    <w:rsid w:val="00B80987"/>
    <w:rsid w:val="00B80B09"/>
    <w:rsid w:val="00B81565"/>
    <w:rsid w:val="00B81CCC"/>
    <w:rsid w:val="00B8272E"/>
    <w:rsid w:val="00B835A4"/>
    <w:rsid w:val="00B83B54"/>
    <w:rsid w:val="00B84B82"/>
    <w:rsid w:val="00B855EC"/>
    <w:rsid w:val="00B85FDE"/>
    <w:rsid w:val="00B86399"/>
    <w:rsid w:val="00B86423"/>
    <w:rsid w:val="00B869AD"/>
    <w:rsid w:val="00B86E2E"/>
    <w:rsid w:val="00B87698"/>
    <w:rsid w:val="00B876C6"/>
    <w:rsid w:val="00B87CDF"/>
    <w:rsid w:val="00B87CE1"/>
    <w:rsid w:val="00B87E93"/>
    <w:rsid w:val="00B9055D"/>
    <w:rsid w:val="00B91F6F"/>
    <w:rsid w:val="00B9240A"/>
    <w:rsid w:val="00B926DF"/>
    <w:rsid w:val="00B935B7"/>
    <w:rsid w:val="00B93FD0"/>
    <w:rsid w:val="00B95E12"/>
    <w:rsid w:val="00B96B5E"/>
    <w:rsid w:val="00B96E98"/>
    <w:rsid w:val="00B97186"/>
    <w:rsid w:val="00B97B09"/>
    <w:rsid w:val="00BA038B"/>
    <w:rsid w:val="00BA0DAB"/>
    <w:rsid w:val="00BA132B"/>
    <w:rsid w:val="00BA1DE1"/>
    <w:rsid w:val="00BA22BD"/>
    <w:rsid w:val="00BA26F3"/>
    <w:rsid w:val="00BA425A"/>
    <w:rsid w:val="00BA58A2"/>
    <w:rsid w:val="00BA627F"/>
    <w:rsid w:val="00BA7050"/>
    <w:rsid w:val="00BA7587"/>
    <w:rsid w:val="00BA763B"/>
    <w:rsid w:val="00BA7A76"/>
    <w:rsid w:val="00BA7CA2"/>
    <w:rsid w:val="00BB073D"/>
    <w:rsid w:val="00BB0D3F"/>
    <w:rsid w:val="00BB0F83"/>
    <w:rsid w:val="00BB145C"/>
    <w:rsid w:val="00BB18F4"/>
    <w:rsid w:val="00BB2DC3"/>
    <w:rsid w:val="00BB2FBE"/>
    <w:rsid w:val="00BB3AEB"/>
    <w:rsid w:val="00BB3CE3"/>
    <w:rsid w:val="00BB3EF5"/>
    <w:rsid w:val="00BB570A"/>
    <w:rsid w:val="00BB5967"/>
    <w:rsid w:val="00BB6007"/>
    <w:rsid w:val="00BB77C2"/>
    <w:rsid w:val="00BC011A"/>
    <w:rsid w:val="00BC1940"/>
    <w:rsid w:val="00BC1AF4"/>
    <w:rsid w:val="00BC1BEE"/>
    <w:rsid w:val="00BC1F3C"/>
    <w:rsid w:val="00BC2397"/>
    <w:rsid w:val="00BC3D44"/>
    <w:rsid w:val="00BC3F84"/>
    <w:rsid w:val="00BC6D18"/>
    <w:rsid w:val="00BC6F02"/>
    <w:rsid w:val="00BD02E4"/>
    <w:rsid w:val="00BD0D51"/>
    <w:rsid w:val="00BD0E34"/>
    <w:rsid w:val="00BD18A7"/>
    <w:rsid w:val="00BD2D65"/>
    <w:rsid w:val="00BD2DDB"/>
    <w:rsid w:val="00BD391C"/>
    <w:rsid w:val="00BD488E"/>
    <w:rsid w:val="00BD5C52"/>
    <w:rsid w:val="00BD5C8B"/>
    <w:rsid w:val="00BD733F"/>
    <w:rsid w:val="00BE07A1"/>
    <w:rsid w:val="00BE0EB9"/>
    <w:rsid w:val="00BE19AC"/>
    <w:rsid w:val="00BE1D77"/>
    <w:rsid w:val="00BE203C"/>
    <w:rsid w:val="00BE21E5"/>
    <w:rsid w:val="00BE2BB3"/>
    <w:rsid w:val="00BE3E47"/>
    <w:rsid w:val="00BE4410"/>
    <w:rsid w:val="00BE47AA"/>
    <w:rsid w:val="00BE4949"/>
    <w:rsid w:val="00BE54C1"/>
    <w:rsid w:val="00BE59D0"/>
    <w:rsid w:val="00BE5FDA"/>
    <w:rsid w:val="00BE7458"/>
    <w:rsid w:val="00BE789B"/>
    <w:rsid w:val="00BF002C"/>
    <w:rsid w:val="00BF0170"/>
    <w:rsid w:val="00BF0E9F"/>
    <w:rsid w:val="00BF10C3"/>
    <w:rsid w:val="00BF2E69"/>
    <w:rsid w:val="00BF39B7"/>
    <w:rsid w:val="00BF3C0C"/>
    <w:rsid w:val="00BF444C"/>
    <w:rsid w:val="00BF4CD2"/>
    <w:rsid w:val="00BF4EA7"/>
    <w:rsid w:val="00BF5CCB"/>
    <w:rsid w:val="00BF5DC9"/>
    <w:rsid w:val="00BF6044"/>
    <w:rsid w:val="00BF6188"/>
    <w:rsid w:val="00BF62A9"/>
    <w:rsid w:val="00BF7A3C"/>
    <w:rsid w:val="00C0016C"/>
    <w:rsid w:val="00C004D8"/>
    <w:rsid w:val="00C00893"/>
    <w:rsid w:val="00C00B87"/>
    <w:rsid w:val="00C0124B"/>
    <w:rsid w:val="00C0141A"/>
    <w:rsid w:val="00C01A87"/>
    <w:rsid w:val="00C02862"/>
    <w:rsid w:val="00C02FCF"/>
    <w:rsid w:val="00C03E03"/>
    <w:rsid w:val="00C03F02"/>
    <w:rsid w:val="00C04446"/>
    <w:rsid w:val="00C0540B"/>
    <w:rsid w:val="00C05F63"/>
    <w:rsid w:val="00C06240"/>
    <w:rsid w:val="00C0639D"/>
    <w:rsid w:val="00C069AD"/>
    <w:rsid w:val="00C07B34"/>
    <w:rsid w:val="00C10ED7"/>
    <w:rsid w:val="00C10F87"/>
    <w:rsid w:val="00C116B6"/>
    <w:rsid w:val="00C11B5C"/>
    <w:rsid w:val="00C11FF0"/>
    <w:rsid w:val="00C12C3B"/>
    <w:rsid w:val="00C137FB"/>
    <w:rsid w:val="00C13948"/>
    <w:rsid w:val="00C14674"/>
    <w:rsid w:val="00C15802"/>
    <w:rsid w:val="00C165AD"/>
    <w:rsid w:val="00C16891"/>
    <w:rsid w:val="00C173ED"/>
    <w:rsid w:val="00C177FC"/>
    <w:rsid w:val="00C20020"/>
    <w:rsid w:val="00C2068F"/>
    <w:rsid w:val="00C20CE7"/>
    <w:rsid w:val="00C2210F"/>
    <w:rsid w:val="00C2263C"/>
    <w:rsid w:val="00C2289F"/>
    <w:rsid w:val="00C22F8B"/>
    <w:rsid w:val="00C231A5"/>
    <w:rsid w:val="00C23400"/>
    <w:rsid w:val="00C23BFB"/>
    <w:rsid w:val="00C24557"/>
    <w:rsid w:val="00C255F9"/>
    <w:rsid w:val="00C256DD"/>
    <w:rsid w:val="00C25ACA"/>
    <w:rsid w:val="00C25E79"/>
    <w:rsid w:val="00C25F02"/>
    <w:rsid w:val="00C2703A"/>
    <w:rsid w:val="00C276BF"/>
    <w:rsid w:val="00C27BE7"/>
    <w:rsid w:val="00C27D47"/>
    <w:rsid w:val="00C30795"/>
    <w:rsid w:val="00C310D6"/>
    <w:rsid w:val="00C31218"/>
    <w:rsid w:val="00C31348"/>
    <w:rsid w:val="00C320FE"/>
    <w:rsid w:val="00C32B96"/>
    <w:rsid w:val="00C32E62"/>
    <w:rsid w:val="00C3322B"/>
    <w:rsid w:val="00C334C8"/>
    <w:rsid w:val="00C33C80"/>
    <w:rsid w:val="00C3439C"/>
    <w:rsid w:val="00C34844"/>
    <w:rsid w:val="00C35443"/>
    <w:rsid w:val="00C364C0"/>
    <w:rsid w:val="00C378FF"/>
    <w:rsid w:val="00C3796E"/>
    <w:rsid w:val="00C407C5"/>
    <w:rsid w:val="00C4097D"/>
    <w:rsid w:val="00C41CD7"/>
    <w:rsid w:val="00C42375"/>
    <w:rsid w:val="00C423AC"/>
    <w:rsid w:val="00C42606"/>
    <w:rsid w:val="00C42989"/>
    <w:rsid w:val="00C430FF"/>
    <w:rsid w:val="00C43433"/>
    <w:rsid w:val="00C442EA"/>
    <w:rsid w:val="00C44D72"/>
    <w:rsid w:val="00C469AA"/>
    <w:rsid w:val="00C46C3F"/>
    <w:rsid w:val="00C47DDF"/>
    <w:rsid w:val="00C502BC"/>
    <w:rsid w:val="00C50545"/>
    <w:rsid w:val="00C505E3"/>
    <w:rsid w:val="00C507ED"/>
    <w:rsid w:val="00C516B1"/>
    <w:rsid w:val="00C531DC"/>
    <w:rsid w:val="00C53A62"/>
    <w:rsid w:val="00C54132"/>
    <w:rsid w:val="00C5527A"/>
    <w:rsid w:val="00C55717"/>
    <w:rsid w:val="00C55D81"/>
    <w:rsid w:val="00C56003"/>
    <w:rsid w:val="00C56567"/>
    <w:rsid w:val="00C57541"/>
    <w:rsid w:val="00C57B55"/>
    <w:rsid w:val="00C57E93"/>
    <w:rsid w:val="00C6046D"/>
    <w:rsid w:val="00C61355"/>
    <w:rsid w:val="00C613B4"/>
    <w:rsid w:val="00C61E27"/>
    <w:rsid w:val="00C62894"/>
    <w:rsid w:val="00C62CC7"/>
    <w:rsid w:val="00C62EAA"/>
    <w:rsid w:val="00C632E2"/>
    <w:rsid w:val="00C6385A"/>
    <w:rsid w:val="00C63904"/>
    <w:rsid w:val="00C63DA8"/>
    <w:rsid w:val="00C64629"/>
    <w:rsid w:val="00C655AB"/>
    <w:rsid w:val="00C6566C"/>
    <w:rsid w:val="00C65865"/>
    <w:rsid w:val="00C6633A"/>
    <w:rsid w:val="00C67DF5"/>
    <w:rsid w:val="00C67F61"/>
    <w:rsid w:val="00C706AC"/>
    <w:rsid w:val="00C709D1"/>
    <w:rsid w:val="00C716CF"/>
    <w:rsid w:val="00C71E75"/>
    <w:rsid w:val="00C7242D"/>
    <w:rsid w:val="00C7249D"/>
    <w:rsid w:val="00C727B0"/>
    <w:rsid w:val="00C73181"/>
    <w:rsid w:val="00C74095"/>
    <w:rsid w:val="00C7670B"/>
    <w:rsid w:val="00C76852"/>
    <w:rsid w:val="00C76B3C"/>
    <w:rsid w:val="00C76BD9"/>
    <w:rsid w:val="00C7744A"/>
    <w:rsid w:val="00C77622"/>
    <w:rsid w:val="00C80BCA"/>
    <w:rsid w:val="00C81284"/>
    <w:rsid w:val="00C81F90"/>
    <w:rsid w:val="00C821F1"/>
    <w:rsid w:val="00C823D8"/>
    <w:rsid w:val="00C8291B"/>
    <w:rsid w:val="00C8356A"/>
    <w:rsid w:val="00C83692"/>
    <w:rsid w:val="00C83A29"/>
    <w:rsid w:val="00C83BFA"/>
    <w:rsid w:val="00C851FD"/>
    <w:rsid w:val="00C853EB"/>
    <w:rsid w:val="00C85438"/>
    <w:rsid w:val="00C85E4A"/>
    <w:rsid w:val="00C86A69"/>
    <w:rsid w:val="00C86DE3"/>
    <w:rsid w:val="00C8720A"/>
    <w:rsid w:val="00C87A53"/>
    <w:rsid w:val="00C87E2B"/>
    <w:rsid w:val="00C90FD2"/>
    <w:rsid w:val="00C91FC0"/>
    <w:rsid w:val="00C92ADD"/>
    <w:rsid w:val="00C93696"/>
    <w:rsid w:val="00C94162"/>
    <w:rsid w:val="00C9416F"/>
    <w:rsid w:val="00C95F2F"/>
    <w:rsid w:val="00C9618E"/>
    <w:rsid w:val="00C96CC2"/>
    <w:rsid w:val="00CA1140"/>
    <w:rsid w:val="00CA143A"/>
    <w:rsid w:val="00CA14D7"/>
    <w:rsid w:val="00CA3100"/>
    <w:rsid w:val="00CA3F60"/>
    <w:rsid w:val="00CA4384"/>
    <w:rsid w:val="00CA46C6"/>
    <w:rsid w:val="00CA5573"/>
    <w:rsid w:val="00CA5DF4"/>
    <w:rsid w:val="00CA5FC5"/>
    <w:rsid w:val="00CA603F"/>
    <w:rsid w:val="00CA6095"/>
    <w:rsid w:val="00CA6629"/>
    <w:rsid w:val="00CA6F9D"/>
    <w:rsid w:val="00CA71C9"/>
    <w:rsid w:val="00CA7542"/>
    <w:rsid w:val="00CA79B1"/>
    <w:rsid w:val="00CA7A46"/>
    <w:rsid w:val="00CB044E"/>
    <w:rsid w:val="00CB0980"/>
    <w:rsid w:val="00CB12B9"/>
    <w:rsid w:val="00CB13EA"/>
    <w:rsid w:val="00CB208D"/>
    <w:rsid w:val="00CB27F8"/>
    <w:rsid w:val="00CB28AA"/>
    <w:rsid w:val="00CB2D8F"/>
    <w:rsid w:val="00CB38F8"/>
    <w:rsid w:val="00CB41A9"/>
    <w:rsid w:val="00CB4653"/>
    <w:rsid w:val="00CB4BBE"/>
    <w:rsid w:val="00CB548E"/>
    <w:rsid w:val="00CB5922"/>
    <w:rsid w:val="00CB5D96"/>
    <w:rsid w:val="00CB6C6C"/>
    <w:rsid w:val="00CB7C50"/>
    <w:rsid w:val="00CC0EE6"/>
    <w:rsid w:val="00CC1671"/>
    <w:rsid w:val="00CC26F6"/>
    <w:rsid w:val="00CC29BE"/>
    <w:rsid w:val="00CC2A40"/>
    <w:rsid w:val="00CC30EF"/>
    <w:rsid w:val="00CC4DC4"/>
    <w:rsid w:val="00CC5A45"/>
    <w:rsid w:val="00CC5C25"/>
    <w:rsid w:val="00CC6BA7"/>
    <w:rsid w:val="00CC7028"/>
    <w:rsid w:val="00CC7DB9"/>
    <w:rsid w:val="00CD04AD"/>
    <w:rsid w:val="00CD0FB8"/>
    <w:rsid w:val="00CD1B4B"/>
    <w:rsid w:val="00CD1CC4"/>
    <w:rsid w:val="00CD1FF4"/>
    <w:rsid w:val="00CD3745"/>
    <w:rsid w:val="00CD4130"/>
    <w:rsid w:val="00CD68AF"/>
    <w:rsid w:val="00CD78C9"/>
    <w:rsid w:val="00CE0B3C"/>
    <w:rsid w:val="00CE1080"/>
    <w:rsid w:val="00CE1124"/>
    <w:rsid w:val="00CE200B"/>
    <w:rsid w:val="00CE2CD6"/>
    <w:rsid w:val="00CE31DB"/>
    <w:rsid w:val="00CE3253"/>
    <w:rsid w:val="00CE33A4"/>
    <w:rsid w:val="00CE375C"/>
    <w:rsid w:val="00CE4ED0"/>
    <w:rsid w:val="00CE5E0A"/>
    <w:rsid w:val="00CE6031"/>
    <w:rsid w:val="00CE683F"/>
    <w:rsid w:val="00CE6D2E"/>
    <w:rsid w:val="00CE7247"/>
    <w:rsid w:val="00CE7BC5"/>
    <w:rsid w:val="00CF0C1C"/>
    <w:rsid w:val="00CF13AF"/>
    <w:rsid w:val="00CF1497"/>
    <w:rsid w:val="00CF1CC8"/>
    <w:rsid w:val="00CF1EEB"/>
    <w:rsid w:val="00CF250D"/>
    <w:rsid w:val="00CF264A"/>
    <w:rsid w:val="00CF2D17"/>
    <w:rsid w:val="00CF34E5"/>
    <w:rsid w:val="00CF361F"/>
    <w:rsid w:val="00CF367C"/>
    <w:rsid w:val="00CF3A4A"/>
    <w:rsid w:val="00CF3FA0"/>
    <w:rsid w:val="00CF5D88"/>
    <w:rsid w:val="00CF5F44"/>
    <w:rsid w:val="00CF6128"/>
    <w:rsid w:val="00CF66E9"/>
    <w:rsid w:val="00CF73F3"/>
    <w:rsid w:val="00CF7581"/>
    <w:rsid w:val="00CF7F4F"/>
    <w:rsid w:val="00D004AB"/>
    <w:rsid w:val="00D00579"/>
    <w:rsid w:val="00D00A78"/>
    <w:rsid w:val="00D01195"/>
    <w:rsid w:val="00D01890"/>
    <w:rsid w:val="00D01921"/>
    <w:rsid w:val="00D01FD0"/>
    <w:rsid w:val="00D0215D"/>
    <w:rsid w:val="00D02A5C"/>
    <w:rsid w:val="00D02DC5"/>
    <w:rsid w:val="00D032FD"/>
    <w:rsid w:val="00D039D8"/>
    <w:rsid w:val="00D03BDF"/>
    <w:rsid w:val="00D04143"/>
    <w:rsid w:val="00D0492B"/>
    <w:rsid w:val="00D104A4"/>
    <w:rsid w:val="00D10826"/>
    <w:rsid w:val="00D108A7"/>
    <w:rsid w:val="00D11202"/>
    <w:rsid w:val="00D12044"/>
    <w:rsid w:val="00D123FA"/>
    <w:rsid w:val="00D1267A"/>
    <w:rsid w:val="00D128D5"/>
    <w:rsid w:val="00D13A83"/>
    <w:rsid w:val="00D13C4E"/>
    <w:rsid w:val="00D13E14"/>
    <w:rsid w:val="00D14419"/>
    <w:rsid w:val="00D14EBD"/>
    <w:rsid w:val="00D15DED"/>
    <w:rsid w:val="00D16DA8"/>
    <w:rsid w:val="00D20287"/>
    <w:rsid w:val="00D20F87"/>
    <w:rsid w:val="00D2119F"/>
    <w:rsid w:val="00D221D9"/>
    <w:rsid w:val="00D24E06"/>
    <w:rsid w:val="00D251AC"/>
    <w:rsid w:val="00D253C8"/>
    <w:rsid w:val="00D26234"/>
    <w:rsid w:val="00D26E7E"/>
    <w:rsid w:val="00D2755F"/>
    <w:rsid w:val="00D27DBB"/>
    <w:rsid w:val="00D303C3"/>
    <w:rsid w:val="00D318C0"/>
    <w:rsid w:val="00D31CF4"/>
    <w:rsid w:val="00D3273D"/>
    <w:rsid w:val="00D32927"/>
    <w:rsid w:val="00D329C4"/>
    <w:rsid w:val="00D33683"/>
    <w:rsid w:val="00D344F9"/>
    <w:rsid w:val="00D3558E"/>
    <w:rsid w:val="00D355AD"/>
    <w:rsid w:val="00D36E77"/>
    <w:rsid w:val="00D3759C"/>
    <w:rsid w:val="00D37A87"/>
    <w:rsid w:val="00D37B17"/>
    <w:rsid w:val="00D402BB"/>
    <w:rsid w:val="00D41722"/>
    <w:rsid w:val="00D41A6F"/>
    <w:rsid w:val="00D4205B"/>
    <w:rsid w:val="00D42D3C"/>
    <w:rsid w:val="00D435E4"/>
    <w:rsid w:val="00D438E4"/>
    <w:rsid w:val="00D4426F"/>
    <w:rsid w:val="00D443ED"/>
    <w:rsid w:val="00D47BF1"/>
    <w:rsid w:val="00D50D7C"/>
    <w:rsid w:val="00D51277"/>
    <w:rsid w:val="00D51474"/>
    <w:rsid w:val="00D516B5"/>
    <w:rsid w:val="00D5261D"/>
    <w:rsid w:val="00D52E55"/>
    <w:rsid w:val="00D539EE"/>
    <w:rsid w:val="00D53D35"/>
    <w:rsid w:val="00D559FE"/>
    <w:rsid w:val="00D5606C"/>
    <w:rsid w:val="00D56111"/>
    <w:rsid w:val="00D60905"/>
    <w:rsid w:val="00D610AF"/>
    <w:rsid w:val="00D61935"/>
    <w:rsid w:val="00D61C63"/>
    <w:rsid w:val="00D61C69"/>
    <w:rsid w:val="00D625E9"/>
    <w:rsid w:val="00D626EB"/>
    <w:rsid w:val="00D63B58"/>
    <w:rsid w:val="00D6404C"/>
    <w:rsid w:val="00D65FA5"/>
    <w:rsid w:val="00D66002"/>
    <w:rsid w:val="00D66541"/>
    <w:rsid w:val="00D67C97"/>
    <w:rsid w:val="00D70A42"/>
    <w:rsid w:val="00D71013"/>
    <w:rsid w:val="00D71391"/>
    <w:rsid w:val="00D71EE9"/>
    <w:rsid w:val="00D72378"/>
    <w:rsid w:val="00D73AAC"/>
    <w:rsid w:val="00D74467"/>
    <w:rsid w:val="00D74A39"/>
    <w:rsid w:val="00D7693C"/>
    <w:rsid w:val="00D77359"/>
    <w:rsid w:val="00D77406"/>
    <w:rsid w:val="00D77F44"/>
    <w:rsid w:val="00D802E4"/>
    <w:rsid w:val="00D80ACB"/>
    <w:rsid w:val="00D81095"/>
    <w:rsid w:val="00D827BB"/>
    <w:rsid w:val="00D82ADF"/>
    <w:rsid w:val="00D8397F"/>
    <w:rsid w:val="00D843C5"/>
    <w:rsid w:val="00D859FC"/>
    <w:rsid w:val="00D86B2F"/>
    <w:rsid w:val="00D872A9"/>
    <w:rsid w:val="00D874A6"/>
    <w:rsid w:val="00D875FA"/>
    <w:rsid w:val="00D91D5C"/>
    <w:rsid w:val="00D921A3"/>
    <w:rsid w:val="00D9247C"/>
    <w:rsid w:val="00D9350C"/>
    <w:rsid w:val="00D93581"/>
    <w:rsid w:val="00D936E9"/>
    <w:rsid w:val="00D94C74"/>
    <w:rsid w:val="00D95005"/>
    <w:rsid w:val="00D95060"/>
    <w:rsid w:val="00D95CCC"/>
    <w:rsid w:val="00D96205"/>
    <w:rsid w:val="00D962BA"/>
    <w:rsid w:val="00D96C66"/>
    <w:rsid w:val="00D97537"/>
    <w:rsid w:val="00DA0931"/>
    <w:rsid w:val="00DA123E"/>
    <w:rsid w:val="00DA2848"/>
    <w:rsid w:val="00DA318E"/>
    <w:rsid w:val="00DA3BB3"/>
    <w:rsid w:val="00DA42A4"/>
    <w:rsid w:val="00DA43FE"/>
    <w:rsid w:val="00DA46A3"/>
    <w:rsid w:val="00DA49C4"/>
    <w:rsid w:val="00DA4D5C"/>
    <w:rsid w:val="00DA4E31"/>
    <w:rsid w:val="00DA52AD"/>
    <w:rsid w:val="00DA5364"/>
    <w:rsid w:val="00DA55F0"/>
    <w:rsid w:val="00DA58FA"/>
    <w:rsid w:val="00DA5AD0"/>
    <w:rsid w:val="00DA707B"/>
    <w:rsid w:val="00DA7267"/>
    <w:rsid w:val="00DB075C"/>
    <w:rsid w:val="00DB0BAB"/>
    <w:rsid w:val="00DB1FAB"/>
    <w:rsid w:val="00DB2325"/>
    <w:rsid w:val="00DB243B"/>
    <w:rsid w:val="00DB2629"/>
    <w:rsid w:val="00DB38B2"/>
    <w:rsid w:val="00DB42E1"/>
    <w:rsid w:val="00DB5597"/>
    <w:rsid w:val="00DB55AD"/>
    <w:rsid w:val="00DB5AE5"/>
    <w:rsid w:val="00DB6397"/>
    <w:rsid w:val="00DB63FA"/>
    <w:rsid w:val="00DB64C6"/>
    <w:rsid w:val="00DB7050"/>
    <w:rsid w:val="00DB7E19"/>
    <w:rsid w:val="00DB7FFA"/>
    <w:rsid w:val="00DC1BFA"/>
    <w:rsid w:val="00DC22CC"/>
    <w:rsid w:val="00DC2E8C"/>
    <w:rsid w:val="00DC3048"/>
    <w:rsid w:val="00DC30FA"/>
    <w:rsid w:val="00DC39A8"/>
    <w:rsid w:val="00DC3E36"/>
    <w:rsid w:val="00DC42EB"/>
    <w:rsid w:val="00DC4842"/>
    <w:rsid w:val="00DC48E7"/>
    <w:rsid w:val="00DC49FB"/>
    <w:rsid w:val="00DC4AE4"/>
    <w:rsid w:val="00DC67C7"/>
    <w:rsid w:val="00DC6A85"/>
    <w:rsid w:val="00DC6CA2"/>
    <w:rsid w:val="00DC746A"/>
    <w:rsid w:val="00DD1F23"/>
    <w:rsid w:val="00DD2A61"/>
    <w:rsid w:val="00DD3897"/>
    <w:rsid w:val="00DD3B2C"/>
    <w:rsid w:val="00DD3E94"/>
    <w:rsid w:val="00DD4335"/>
    <w:rsid w:val="00DD49D5"/>
    <w:rsid w:val="00DD4E35"/>
    <w:rsid w:val="00DD4F0A"/>
    <w:rsid w:val="00DD541E"/>
    <w:rsid w:val="00DD5BD6"/>
    <w:rsid w:val="00DD63D5"/>
    <w:rsid w:val="00DD697A"/>
    <w:rsid w:val="00DD7A33"/>
    <w:rsid w:val="00DD7AC2"/>
    <w:rsid w:val="00DD7E31"/>
    <w:rsid w:val="00DE03A4"/>
    <w:rsid w:val="00DE1196"/>
    <w:rsid w:val="00DE1C5D"/>
    <w:rsid w:val="00DE1F21"/>
    <w:rsid w:val="00DE1FE5"/>
    <w:rsid w:val="00DE2EAA"/>
    <w:rsid w:val="00DE4AC6"/>
    <w:rsid w:val="00DE54B6"/>
    <w:rsid w:val="00DE5E79"/>
    <w:rsid w:val="00DE5FE2"/>
    <w:rsid w:val="00DE64CC"/>
    <w:rsid w:val="00DE686A"/>
    <w:rsid w:val="00DE6A5F"/>
    <w:rsid w:val="00DE709E"/>
    <w:rsid w:val="00DE7148"/>
    <w:rsid w:val="00DE7BB0"/>
    <w:rsid w:val="00DF00B5"/>
    <w:rsid w:val="00DF0925"/>
    <w:rsid w:val="00DF1E9A"/>
    <w:rsid w:val="00DF2F34"/>
    <w:rsid w:val="00DF33CE"/>
    <w:rsid w:val="00DF3F88"/>
    <w:rsid w:val="00DF4D02"/>
    <w:rsid w:val="00DF6C13"/>
    <w:rsid w:val="00DF6DAA"/>
    <w:rsid w:val="00E0130C"/>
    <w:rsid w:val="00E01410"/>
    <w:rsid w:val="00E017C7"/>
    <w:rsid w:val="00E01F1A"/>
    <w:rsid w:val="00E02378"/>
    <w:rsid w:val="00E025C5"/>
    <w:rsid w:val="00E02B80"/>
    <w:rsid w:val="00E03052"/>
    <w:rsid w:val="00E03260"/>
    <w:rsid w:val="00E03C5F"/>
    <w:rsid w:val="00E04F85"/>
    <w:rsid w:val="00E04F8C"/>
    <w:rsid w:val="00E06DBE"/>
    <w:rsid w:val="00E0730B"/>
    <w:rsid w:val="00E07851"/>
    <w:rsid w:val="00E10041"/>
    <w:rsid w:val="00E10911"/>
    <w:rsid w:val="00E11212"/>
    <w:rsid w:val="00E113F4"/>
    <w:rsid w:val="00E1149B"/>
    <w:rsid w:val="00E11DFC"/>
    <w:rsid w:val="00E12682"/>
    <w:rsid w:val="00E12A40"/>
    <w:rsid w:val="00E13309"/>
    <w:rsid w:val="00E13FC1"/>
    <w:rsid w:val="00E1439F"/>
    <w:rsid w:val="00E14B62"/>
    <w:rsid w:val="00E159D4"/>
    <w:rsid w:val="00E16533"/>
    <w:rsid w:val="00E16B8B"/>
    <w:rsid w:val="00E17590"/>
    <w:rsid w:val="00E200C3"/>
    <w:rsid w:val="00E2094C"/>
    <w:rsid w:val="00E20A2C"/>
    <w:rsid w:val="00E20FC3"/>
    <w:rsid w:val="00E2147C"/>
    <w:rsid w:val="00E22703"/>
    <w:rsid w:val="00E2328D"/>
    <w:rsid w:val="00E232FB"/>
    <w:rsid w:val="00E244B8"/>
    <w:rsid w:val="00E24E22"/>
    <w:rsid w:val="00E24FBB"/>
    <w:rsid w:val="00E250DA"/>
    <w:rsid w:val="00E25415"/>
    <w:rsid w:val="00E26D74"/>
    <w:rsid w:val="00E26ED1"/>
    <w:rsid w:val="00E2772E"/>
    <w:rsid w:val="00E2775D"/>
    <w:rsid w:val="00E27991"/>
    <w:rsid w:val="00E31F4F"/>
    <w:rsid w:val="00E32846"/>
    <w:rsid w:val="00E329E1"/>
    <w:rsid w:val="00E32AC1"/>
    <w:rsid w:val="00E3319D"/>
    <w:rsid w:val="00E332EB"/>
    <w:rsid w:val="00E33F9A"/>
    <w:rsid w:val="00E34368"/>
    <w:rsid w:val="00E34BA0"/>
    <w:rsid w:val="00E34F8E"/>
    <w:rsid w:val="00E34FFE"/>
    <w:rsid w:val="00E35AFF"/>
    <w:rsid w:val="00E35FF5"/>
    <w:rsid w:val="00E36325"/>
    <w:rsid w:val="00E36938"/>
    <w:rsid w:val="00E3733D"/>
    <w:rsid w:val="00E378EB"/>
    <w:rsid w:val="00E409DD"/>
    <w:rsid w:val="00E4142F"/>
    <w:rsid w:val="00E42663"/>
    <w:rsid w:val="00E4299C"/>
    <w:rsid w:val="00E4359B"/>
    <w:rsid w:val="00E43A3A"/>
    <w:rsid w:val="00E44100"/>
    <w:rsid w:val="00E459B8"/>
    <w:rsid w:val="00E45A47"/>
    <w:rsid w:val="00E46781"/>
    <w:rsid w:val="00E467F1"/>
    <w:rsid w:val="00E47490"/>
    <w:rsid w:val="00E479E1"/>
    <w:rsid w:val="00E50BA6"/>
    <w:rsid w:val="00E51997"/>
    <w:rsid w:val="00E52F79"/>
    <w:rsid w:val="00E53E51"/>
    <w:rsid w:val="00E5525E"/>
    <w:rsid w:val="00E5590D"/>
    <w:rsid w:val="00E56596"/>
    <w:rsid w:val="00E5678E"/>
    <w:rsid w:val="00E5798A"/>
    <w:rsid w:val="00E57F46"/>
    <w:rsid w:val="00E60D66"/>
    <w:rsid w:val="00E613AA"/>
    <w:rsid w:val="00E61AC9"/>
    <w:rsid w:val="00E61B05"/>
    <w:rsid w:val="00E61BF5"/>
    <w:rsid w:val="00E62794"/>
    <w:rsid w:val="00E638BA"/>
    <w:rsid w:val="00E641E0"/>
    <w:rsid w:val="00E64DDC"/>
    <w:rsid w:val="00E661E6"/>
    <w:rsid w:val="00E667C9"/>
    <w:rsid w:val="00E6726F"/>
    <w:rsid w:val="00E67AD0"/>
    <w:rsid w:val="00E67D86"/>
    <w:rsid w:val="00E7015E"/>
    <w:rsid w:val="00E7061B"/>
    <w:rsid w:val="00E713CE"/>
    <w:rsid w:val="00E71716"/>
    <w:rsid w:val="00E719E1"/>
    <w:rsid w:val="00E72444"/>
    <w:rsid w:val="00E72568"/>
    <w:rsid w:val="00E72B8E"/>
    <w:rsid w:val="00E749A0"/>
    <w:rsid w:val="00E75271"/>
    <w:rsid w:val="00E75D79"/>
    <w:rsid w:val="00E763BB"/>
    <w:rsid w:val="00E81608"/>
    <w:rsid w:val="00E81AE6"/>
    <w:rsid w:val="00E81AFB"/>
    <w:rsid w:val="00E82071"/>
    <w:rsid w:val="00E82563"/>
    <w:rsid w:val="00E82D66"/>
    <w:rsid w:val="00E83555"/>
    <w:rsid w:val="00E850AC"/>
    <w:rsid w:val="00E85247"/>
    <w:rsid w:val="00E8583F"/>
    <w:rsid w:val="00E866EC"/>
    <w:rsid w:val="00E86F84"/>
    <w:rsid w:val="00E87976"/>
    <w:rsid w:val="00E87AC7"/>
    <w:rsid w:val="00E91B2F"/>
    <w:rsid w:val="00E92387"/>
    <w:rsid w:val="00E92892"/>
    <w:rsid w:val="00E938AC"/>
    <w:rsid w:val="00E94427"/>
    <w:rsid w:val="00E976D6"/>
    <w:rsid w:val="00EA019E"/>
    <w:rsid w:val="00EA1D94"/>
    <w:rsid w:val="00EA279D"/>
    <w:rsid w:val="00EA3C07"/>
    <w:rsid w:val="00EA42F4"/>
    <w:rsid w:val="00EA4E6E"/>
    <w:rsid w:val="00EA4F86"/>
    <w:rsid w:val="00EA53B0"/>
    <w:rsid w:val="00EA5573"/>
    <w:rsid w:val="00EA64D7"/>
    <w:rsid w:val="00EA6A1C"/>
    <w:rsid w:val="00EB07CE"/>
    <w:rsid w:val="00EB085A"/>
    <w:rsid w:val="00EB2481"/>
    <w:rsid w:val="00EB34E6"/>
    <w:rsid w:val="00EB38A7"/>
    <w:rsid w:val="00EB3C40"/>
    <w:rsid w:val="00EB4281"/>
    <w:rsid w:val="00EB4DB9"/>
    <w:rsid w:val="00EB4F91"/>
    <w:rsid w:val="00EB5621"/>
    <w:rsid w:val="00EB5E0D"/>
    <w:rsid w:val="00EB6BBE"/>
    <w:rsid w:val="00EB76E2"/>
    <w:rsid w:val="00EB7725"/>
    <w:rsid w:val="00EC0731"/>
    <w:rsid w:val="00EC0918"/>
    <w:rsid w:val="00EC1017"/>
    <w:rsid w:val="00EC1522"/>
    <w:rsid w:val="00EC1D84"/>
    <w:rsid w:val="00EC1DB2"/>
    <w:rsid w:val="00EC1FCB"/>
    <w:rsid w:val="00EC21C2"/>
    <w:rsid w:val="00EC52CD"/>
    <w:rsid w:val="00EC5979"/>
    <w:rsid w:val="00EC6245"/>
    <w:rsid w:val="00EC6A2C"/>
    <w:rsid w:val="00EC72AE"/>
    <w:rsid w:val="00EC7F97"/>
    <w:rsid w:val="00ED1903"/>
    <w:rsid w:val="00ED1C6E"/>
    <w:rsid w:val="00ED1F96"/>
    <w:rsid w:val="00ED20E9"/>
    <w:rsid w:val="00ED3173"/>
    <w:rsid w:val="00ED3947"/>
    <w:rsid w:val="00ED3A48"/>
    <w:rsid w:val="00ED4F57"/>
    <w:rsid w:val="00ED4FAD"/>
    <w:rsid w:val="00ED5F35"/>
    <w:rsid w:val="00ED603D"/>
    <w:rsid w:val="00ED6252"/>
    <w:rsid w:val="00ED6E63"/>
    <w:rsid w:val="00ED7649"/>
    <w:rsid w:val="00ED7C0C"/>
    <w:rsid w:val="00ED7C21"/>
    <w:rsid w:val="00EE00B0"/>
    <w:rsid w:val="00EE0B2D"/>
    <w:rsid w:val="00EE0F03"/>
    <w:rsid w:val="00EE1A78"/>
    <w:rsid w:val="00EE1B35"/>
    <w:rsid w:val="00EE1CFA"/>
    <w:rsid w:val="00EE1D12"/>
    <w:rsid w:val="00EE1F17"/>
    <w:rsid w:val="00EE2174"/>
    <w:rsid w:val="00EE22BD"/>
    <w:rsid w:val="00EE23E6"/>
    <w:rsid w:val="00EE44DC"/>
    <w:rsid w:val="00EE5B99"/>
    <w:rsid w:val="00EE61A4"/>
    <w:rsid w:val="00EE660D"/>
    <w:rsid w:val="00EE6A28"/>
    <w:rsid w:val="00EE6C5D"/>
    <w:rsid w:val="00EE73CC"/>
    <w:rsid w:val="00EE7860"/>
    <w:rsid w:val="00EF030F"/>
    <w:rsid w:val="00EF10E1"/>
    <w:rsid w:val="00EF3286"/>
    <w:rsid w:val="00EF4438"/>
    <w:rsid w:val="00EF492A"/>
    <w:rsid w:val="00EF4C34"/>
    <w:rsid w:val="00EF4E3F"/>
    <w:rsid w:val="00EF5B8D"/>
    <w:rsid w:val="00EF5C55"/>
    <w:rsid w:val="00EF5D77"/>
    <w:rsid w:val="00EF6268"/>
    <w:rsid w:val="00EF6DB7"/>
    <w:rsid w:val="00EF75F7"/>
    <w:rsid w:val="00EF7B12"/>
    <w:rsid w:val="00EF7F5E"/>
    <w:rsid w:val="00EF7F90"/>
    <w:rsid w:val="00F00EA0"/>
    <w:rsid w:val="00F034D8"/>
    <w:rsid w:val="00F0389F"/>
    <w:rsid w:val="00F038F5"/>
    <w:rsid w:val="00F03E61"/>
    <w:rsid w:val="00F043CA"/>
    <w:rsid w:val="00F05102"/>
    <w:rsid w:val="00F05166"/>
    <w:rsid w:val="00F05956"/>
    <w:rsid w:val="00F05A82"/>
    <w:rsid w:val="00F05BDD"/>
    <w:rsid w:val="00F06353"/>
    <w:rsid w:val="00F06F0D"/>
    <w:rsid w:val="00F07E6E"/>
    <w:rsid w:val="00F102F8"/>
    <w:rsid w:val="00F1091A"/>
    <w:rsid w:val="00F11669"/>
    <w:rsid w:val="00F11B3F"/>
    <w:rsid w:val="00F11DC8"/>
    <w:rsid w:val="00F128FB"/>
    <w:rsid w:val="00F1341D"/>
    <w:rsid w:val="00F1353F"/>
    <w:rsid w:val="00F13BB6"/>
    <w:rsid w:val="00F14E5D"/>
    <w:rsid w:val="00F15BFA"/>
    <w:rsid w:val="00F16E1A"/>
    <w:rsid w:val="00F175EE"/>
    <w:rsid w:val="00F1771B"/>
    <w:rsid w:val="00F17E6F"/>
    <w:rsid w:val="00F21DD1"/>
    <w:rsid w:val="00F225BE"/>
    <w:rsid w:val="00F23788"/>
    <w:rsid w:val="00F242D0"/>
    <w:rsid w:val="00F25F40"/>
    <w:rsid w:val="00F260CA"/>
    <w:rsid w:val="00F26EE9"/>
    <w:rsid w:val="00F27831"/>
    <w:rsid w:val="00F2798D"/>
    <w:rsid w:val="00F27F37"/>
    <w:rsid w:val="00F30436"/>
    <w:rsid w:val="00F3067E"/>
    <w:rsid w:val="00F30963"/>
    <w:rsid w:val="00F30AF0"/>
    <w:rsid w:val="00F313A0"/>
    <w:rsid w:val="00F316BC"/>
    <w:rsid w:val="00F31E64"/>
    <w:rsid w:val="00F32C28"/>
    <w:rsid w:val="00F3306F"/>
    <w:rsid w:val="00F33DEC"/>
    <w:rsid w:val="00F3489F"/>
    <w:rsid w:val="00F35854"/>
    <w:rsid w:val="00F35C68"/>
    <w:rsid w:val="00F36054"/>
    <w:rsid w:val="00F367B5"/>
    <w:rsid w:val="00F37190"/>
    <w:rsid w:val="00F371E6"/>
    <w:rsid w:val="00F41D34"/>
    <w:rsid w:val="00F424DC"/>
    <w:rsid w:val="00F42544"/>
    <w:rsid w:val="00F4269C"/>
    <w:rsid w:val="00F42D2E"/>
    <w:rsid w:val="00F43B65"/>
    <w:rsid w:val="00F443C3"/>
    <w:rsid w:val="00F4454A"/>
    <w:rsid w:val="00F46E79"/>
    <w:rsid w:val="00F47E05"/>
    <w:rsid w:val="00F5032F"/>
    <w:rsid w:val="00F5130F"/>
    <w:rsid w:val="00F51FA0"/>
    <w:rsid w:val="00F53410"/>
    <w:rsid w:val="00F53B4F"/>
    <w:rsid w:val="00F53C8A"/>
    <w:rsid w:val="00F550CE"/>
    <w:rsid w:val="00F557D6"/>
    <w:rsid w:val="00F56327"/>
    <w:rsid w:val="00F564DB"/>
    <w:rsid w:val="00F61782"/>
    <w:rsid w:val="00F635CA"/>
    <w:rsid w:val="00F64FB0"/>
    <w:rsid w:val="00F65A71"/>
    <w:rsid w:val="00F675F1"/>
    <w:rsid w:val="00F678F9"/>
    <w:rsid w:val="00F67A94"/>
    <w:rsid w:val="00F725B4"/>
    <w:rsid w:val="00F72AE2"/>
    <w:rsid w:val="00F7449A"/>
    <w:rsid w:val="00F745EA"/>
    <w:rsid w:val="00F74D07"/>
    <w:rsid w:val="00F753F1"/>
    <w:rsid w:val="00F76091"/>
    <w:rsid w:val="00F76753"/>
    <w:rsid w:val="00F76F8D"/>
    <w:rsid w:val="00F7779C"/>
    <w:rsid w:val="00F80861"/>
    <w:rsid w:val="00F815C1"/>
    <w:rsid w:val="00F82397"/>
    <w:rsid w:val="00F829E0"/>
    <w:rsid w:val="00F82A4F"/>
    <w:rsid w:val="00F82A67"/>
    <w:rsid w:val="00F82BBC"/>
    <w:rsid w:val="00F8474B"/>
    <w:rsid w:val="00F85EA4"/>
    <w:rsid w:val="00F862FF"/>
    <w:rsid w:val="00F86A31"/>
    <w:rsid w:val="00F86F0E"/>
    <w:rsid w:val="00F90DDD"/>
    <w:rsid w:val="00F916C9"/>
    <w:rsid w:val="00F91A5C"/>
    <w:rsid w:val="00F9259F"/>
    <w:rsid w:val="00F928FA"/>
    <w:rsid w:val="00F94127"/>
    <w:rsid w:val="00F94673"/>
    <w:rsid w:val="00F9478B"/>
    <w:rsid w:val="00F94B2C"/>
    <w:rsid w:val="00F95ADE"/>
    <w:rsid w:val="00F96703"/>
    <w:rsid w:val="00F9712D"/>
    <w:rsid w:val="00F97732"/>
    <w:rsid w:val="00F977C9"/>
    <w:rsid w:val="00F977F3"/>
    <w:rsid w:val="00FA1661"/>
    <w:rsid w:val="00FA1B5C"/>
    <w:rsid w:val="00FA34EC"/>
    <w:rsid w:val="00FA3618"/>
    <w:rsid w:val="00FA4BD6"/>
    <w:rsid w:val="00FA5CF7"/>
    <w:rsid w:val="00FA7781"/>
    <w:rsid w:val="00FB0B71"/>
    <w:rsid w:val="00FB0EB8"/>
    <w:rsid w:val="00FB1625"/>
    <w:rsid w:val="00FB1B5E"/>
    <w:rsid w:val="00FB1F8D"/>
    <w:rsid w:val="00FB2086"/>
    <w:rsid w:val="00FB20DD"/>
    <w:rsid w:val="00FB20F5"/>
    <w:rsid w:val="00FB21B1"/>
    <w:rsid w:val="00FB2709"/>
    <w:rsid w:val="00FB3460"/>
    <w:rsid w:val="00FB35EC"/>
    <w:rsid w:val="00FB444D"/>
    <w:rsid w:val="00FB497F"/>
    <w:rsid w:val="00FB4B9A"/>
    <w:rsid w:val="00FB52D3"/>
    <w:rsid w:val="00FB634A"/>
    <w:rsid w:val="00FB649D"/>
    <w:rsid w:val="00FB6762"/>
    <w:rsid w:val="00FB67A7"/>
    <w:rsid w:val="00FB69E5"/>
    <w:rsid w:val="00FB6BA9"/>
    <w:rsid w:val="00FB7255"/>
    <w:rsid w:val="00FB7599"/>
    <w:rsid w:val="00FB7F2B"/>
    <w:rsid w:val="00FC12BD"/>
    <w:rsid w:val="00FC232E"/>
    <w:rsid w:val="00FC47B8"/>
    <w:rsid w:val="00FC4DEA"/>
    <w:rsid w:val="00FC5143"/>
    <w:rsid w:val="00FC5379"/>
    <w:rsid w:val="00FC57BF"/>
    <w:rsid w:val="00FC58E7"/>
    <w:rsid w:val="00FC74D2"/>
    <w:rsid w:val="00FC7D15"/>
    <w:rsid w:val="00FD0118"/>
    <w:rsid w:val="00FD0A8E"/>
    <w:rsid w:val="00FD1F65"/>
    <w:rsid w:val="00FD200B"/>
    <w:rsid w:val="00FD2545"/>
    <w:rsid w:val="00FD2B9A"/>
    <w:rsid w:val="00FD2E8F"/>
    <w:rsid w:val="00FD33E5"/>
    <w:rsid w:val="00FD3BEE"/>
    <w:rsid w:val="00FD4432"/>
    <w:rsid w:val="00FD6AFF"/>
    <w:rsid w:val="00FD78F1"/>
    <w:rsid w:val="00FD78F2"/>
    <w:rsid w:val="00FE01EB"/>
    <w:rsid w:val="00FE05A7"/>
    <w:rsid w:val="00FE0B88"/>
    <w:rsid w:val="00FE12EE"/>
    <w:rsid w:val="00FE174D"/>
    <w:rsid w:val="00FE2283"/>
    <w:rsid w:val="00FE229C"/>
    <w:rsid w:val="00FE2C79"/>
    <w:rsid w:val="00FE2F16"/>
    <w:rsid w:val="00FE32C5"/>
    <w:rsid w:val="00FE3CE1"/>
    <w:rsid w:val="00FE44B0"/>
    <w:rsid w:val="00FE451E"/>
    <w:rsid w:val="00FE4E5C"/>
    <w:rsid w:val="00FE6273"/>
    <w:rsid w:val="00FE68A5"/>
    <w:rsid w:val="00FE7826"/>
    <w:rsid w:val="00FE7D19"/>
    <w:rsid w:val="00FF0FEC"/>
    <w:rsid w:val="00FF1564"/>
    <w:rsid w:val="00FF16E7"/>
    <w:rsid w:val="00FF2135"/>
    <w:rsid w:val="00FF26FB"/>
    <w:rsid w:val="00FF452F"/>
    <w:rsid w:val="00FF4A27"/>
    <w:rsid w:val="00FF4D0D"/>
    <w:rsid w:val="00FF5596"/>
    <w:rsid w:val="00FF55AC"/>
    <w:rsid w:val="00FF5ADF"/>
    <w:rsid w:val="00FF5EA6"/>
    <w:rsid w:val="00FF6334"/>
    <w:rsid w:val="00FF78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1218"/>
    <w:pPr>
      <w:jc w:val="both"/>
    </w:pPr>
    <w:rPr>
      <w:rFonts w:ascii="Times New Roman" w:hAnsi="Times New Roman"/>
      <w:sz w:val="28"/>
      <w:szCs w:val="28"/>
      <w:lang w:eastAsia="en-US"/>
    </w:rPr>
  </w:style>
  <w:style w:type="paragraph" w:styleId="Heading1">
    <w:name w:val="heading 1"/>
    <w:basedOn w:val="Normal"/>
    <w:next w:val="PlainText"/>
    <w:link w:val="Heading1Char"/>
    <w:uiPriority w:val="99"/>
    <w:qFormat/>
    <w:rsid w:val="00777174"/>
    <w:pPr>
      <w:numPr>
        <w:numId w:val="1"/>
      </w:numPr>
      <w:shd w:val="clear" w:color="00B0F0" w:fill="F2F2F2"/>
      <w:ind w:left="567" w:hanging="567"/>
      <w:outlineLvl w:val="0"/>
    </w:pPr>
    <w:rPr>
      <w:b/>
      <w:bCs/>
      <w:spacing w:val="38"/>
      <w:kern w:val="1"/>
      <w:sz w:val="48"/>
      <w:szCs w:val="48"/>
    </w:rPr>
  </w:style>
  <w:style w:type="paragraph" w:styleId="Heading2">
    <w:name w:val="heading 2"/>
    <w:basedOn w:val="Normal"/>
    <w:next w:val="Normal"/>
    <w:link w:val="Heading2Char"/>
    <w:uiPriority w:val="99"/>
    <w:qFormat/>
    <w:rsid w:val="00F102F8"/>
    <w:pPr>
      <w:keepNext/>
      <w:outlineLvl w:val="1"/>
    </w:pPr>
    <w:rPr>
      <w:b/>
      <w:bCs/>
      <w:color w:val="000000"/>
      <w:sz w:val="36"/>
      <w:szCs w:val="36"/>
    </w:rPr>
  </w:style>
  <w:style w:type="paragraph" w:styleId="Heading3">
    <w:name w:val="heading 3"/>
    <w:basedOn w:val="Subheading2"/>
    <w:next w:val="Normal"/>
    <w:link w:val="Heading3Char"/>
    <w:uiPriority w:val="99"/>
    <w:qFormat/>
    <w:rsid w:val="00CA14D7"/>
    <w:pPr>
      <w:numPr>
        <w:ilvl w:val="2"/>
        <w:numId w:val="9"/>
      </w:numPr>
      <w:outlineLvl w:val="2"/>
    </w:pPr>
  </w:style>
  <w:style w:type="paragraph" w:styleId="Heading4">
    <w:name w:val="heading 4"/>
    <w:basedOn w:val="Normal"/>
    <w:next w:val="Normal"/>
    <w:link w:val="Heading4Char"/>
    <w:uiPriority w:val="99"/>
    <w:qFormat/>
    <w:rsid w:val="00A917C8"/>
    <w:pPr>
      <w:keepNext/>
      <w:keepLines/>
      <w:spacing w:before="200"/>
      <w:outlineLvl w:val="3"/>
    </w:pPr>
    <w:rPr>
      <w:rFonts w:ascii="Cambria" w:eastAsia="SimSu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174"/>
    <w:rPr>
      <w:rFonts w:ascii="Times New Roman" w:hAnsi="Times New Roman" w:cs="Times New Roman"/>
      <w:b/>
      <w:bCs/>
      <w:spacing w:val="38"/>
      <w:kern w:val="1"/>
      <w:sz w:val="60"/>
      <w:szCs w:val="60"/>
      <w:shd w:val="clear" w:color="00B0F0" w:fill="F2F2F2"/>
      <w:lang w:eastAsia="en-US"/>
    </w:rPr>
  </w:style>
  <w:style w:type="character" w:customStyle="1" w:styleId="Heading2Char">
    <w:name w:val="Heading 2 Char"/>
    <w:basedOn w:val="DefaultParagraphFont"/>
    <w:link w:val="Heading2"/>
    <w:uiPriority w:val="99"/>
    <w:locked/>
    <w:rsid w:val="00F102F8"/>
    <w:rPr>
      <w:rFonts w:ascii="Times New Roman" w:hAnsi="Times New Roman" w:cs="Times New Roman"/>
      <w:b/>
      <w:bCs/>
      <w:color w:val="000000"/>
      <w:sz w:val="48"/>
      <w:szCs w:val="48"/>
      <w:lang w:val="en-GB"/>
    </w:rPr>
  </w:style>
  <w:style w:type="character" w:customStyle="1" w:styleId="Heading3Char">
    <w:name w:val="Heading 3 Char"/>
    <w:basedOn w:val="DefaultParagraphFont"/>
    <w:link w:val="Heading3"/>
    <w:uiPriority w:val="99"/>
    <w:locked/>
    <w:rsid w:val="00CA14D7"/>
    <w:rPr>
      <w:rFonts w:ascii="Times New Roman" w:hAnsi="Times New Roman" w:cs="Times New Roman"/>
      <w:b/>
      <w:bCs/>
      <w:sz w:val="32"/>
      <w:szCs w:val="32"/>
      <w:lang w:val="it-IT" w:eastAsia="en-US"/>
    </w:rPr>
  </w:style>
  <w:style w:type="character" w:customStyle="1" w:styleId="Heading4Char">
    <w:name w:val="Heading 4 Char"/>
    <w:basedOn w:val="DefaultParagraphFont"/>
    <w:link w:val="Heading4"/>
    <w:uiPriority w:val="99"/>
    <w:locked/>
    <w:rsid w:val="00A917C8"/>
    <w:rPr>
      <w:rFonts w:ascii="Cambria" w:eastAsia="SimSun" w:hAnsi="Cambria" w:cs="Cambria"/>
      <w:b/>
      <w:bCs/>
      <w:i/>
      <w:iCs/>
      <w:color w:val="4F81BD"/>
    </w:rPr>
  </w:style>
  <w:style w:type="paragraph" w:styleId="BalloonText">
    <w:name w:val="Balloon Text"/>
    <w:basedOn w:val="Normal"/>
    <w:link w:val="BalloonTextChar"/>
    <w:uiPriority w:val="99"/>
    <w:semiHidden/>
    <w:rsid w:val="00875B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B71"/>
    <w:rPr>
      <w:rFonts w:ascii="Tahoma" w:hAnsi="Tahoma" w:cs="Tahoma"/>
      <w:sz w:val="16"/>
      <w:szCs w:val="16"/>
    </w:rPr>
  </w:style>
  <w:style w:type="paragraph" w:customStyle="1" w:styleId="Corpo">
    <w:name w:val="Corpo"/>
    <w:link w:val="CorpoCarattere"/>
    <w:uiPriority w:val="99"/>
    <w:rsid w:val="0010302B"/>
    <w:pPr>
      <w:spacing w:before="60" w:after="60"/>
      <w:jc w:val="both"/>
    </w:pPr>
    <w:rPr>
      <w:rFonts w:ascii="Helvetica Neue Light" w:eastAsia="ヒラギノ角ゴ Pro W3" w:hAnsi="Helvetica Neue Light" w:cs="Helvetica Neue Light"/>
      <w:color w:val="000000"/>
      <w:lang w:val="it-IT" w:eastAsia="it-IT"/>
    </w:rPr>
  </w:style>
  <w:style w:type="character" w:customStyle="1" w:styleId="CorpoCarattere">
    <w:name w:val="Corpo Carattere"/>
    <w:basedOn w:val="DefaultParagraphFont"/>
    <w:link w:val="Corpo"/>
    <w:uiPriority w:val="99"/>
    <w:locked/>
    <w:rsid w:val="0010302B"/>
    <w:rPr>
      <w:rFonts w:ascii="Helvetica Neue Light" w:eastAsia="ヒラギノ角ゴ Pro W3" w:hAnsi="Helvetica Neue Light" w:cs="Helvetica Neue Light"/>
      <w:color w:val="000000"/>
      <w:sz w:val="22"/>
      <w:szCs w:val="22"/>
      <w:lang w:val="it-IT" w:eastAsia="it-IT" w:bidi="ar-SA"/>
    </w:rPr>
  </w:style>
  <w:style w:type="paragraph" w:customStyle="1" w:styleId="Paragrafoelenco1">
    <w:name w:val="Paragrafo elenco1"/>
    <w:basedOn w:val="Normal"/>
    <w:uiPriority w:val="99"/>
    <w:rsid w:val="0010302B"/>
    <w:pPr>
      <w:ind w:left="720"/>
      <w:contextualSpacing/>
    </w:pPr>
    <w:rPr>
      <w:rFonts w:ascii="Calibri" w:eastAsia="Times New Roman" w:hAnsi="Calibri" w:cs="Calibri"/>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iPriority w:val="99"/>
    <w:semiHidden/>
    <w:rsid w:val="00AB1EDB"/>
    <w:pPr>
      <w:overflowPunct w:val="0"/>
      <w:autoSpaceDE w:val="0"/>
      <w:autoSpaceDN w:val="0"/>
      <w:adjustRightInd w:val="0"/>
      <w:spacing w:after="80"/>
      <w:textAlignment w:val="baseline"/>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locked/>
    <w:rsid w:val="00AB1EDB"/>
    <w:rPr>
      <w:rFonts w:ascii="Times New Roman" w:hAnsi="Times New Roman" w:cs="Times New Roman"/>
      <w:sz w:val="20"/>
      <w:szCs w:val="20"/>
    </w:rPr>
  </w:style>
  <w:style w:type="character" w:styleId="FootnoteReference">
    <w:name w:val="footnote reference"/>
    <w:aliases w:val="Footnote symbol"/>
    <w:basedOn w:val="DefaultParagraphFont"/>
    <w:uiPriority w:val="99"/>
    <w:semiHidden/>
    <w:rsid w:val="00B76DA1"/>
    <w:rPr>
      <w:rFonts w:cs="Times New Roman"/>
      <w:vertAlign w:val="superscript"/>
    </w:rPr>
  </w:style>
  <w:style w:type="table" w:styleId="TableGrid">
    <w:name w:val="Table Grid"/>
    <w:basedOn w:val="TableNormal"/>
    <w:uiPriority w:val="99"/>
    <w:rsid w:val="00875B7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875B71"/>
    <w:pPr>
      <w:ind w:left="720"/>
      <w:contextualSpacing/>
    </w:pPr>
  </w:style>
  <w:style w:type="paragraph" w:customStyle="1" w:styleId="Puntato1">
    <w:name w:val="Puntato 1"/>
    <w:autoRedefine/>
    <w:uiPriority w:val="99"/>
    <w:rsid w:val="006D2EC4"/>
    <w:pPr>
      <w:tabs>
        <w:tab w:val="left" w:pos="0"/>
      </w:tabs>
      <w:spacing w:line="360" w:lineRule="auto"/>
      <w:jc w:val="both"/>
    </w:pPr>
    <w:rPr>
      <w:rFonts w:ascii="Arial Narrow" w:eastAsia="ヒラギノ角ゴ Pro W3" w:hAnsi="Arial Narrow" w:cs="Arial Narrow"/>
      <w:i/>
      <w:iCs/>
      <w:sz w:val="20"/>
      <w:szCs w:val="20"/>
      <w:lang w:val="it-IT" w:eastAsia="en-US"/>
    </w:rPr>
  </w:style>
  <w:style w:type="character" w:styleId="IntenseReference">
    <w:name w:val="Intense Reference"/>
    <w:basedOn w:val="DefaultParagraphFont"/>
    <w:uiPriority w:val="99"/>
    <w:qFormat/>
    <w:rsid w:val="006E6F4C"/>
    <w:rPr>
      <w:rFonts w:cs="Times New Roman"/>
      <w:b/>
      <w:bCs/>
      <w:smallCaps/>
      <w:color w:val="C0504D"/>
      <w:spacing w:val="5"/>
      <w:u w:val="single"/>
    </w:rPr>
  </w:style>
  <w:style w:type="paragraph" w:styleId="Header">
    <w:name w:val="header"/>
    <w:basedOn w:val="Normal"/>
    <w:link w:val="HeaderChar"/>
    <w:uiPriority w:val="99"/>
    <w:rsid w:val="00125128"/>
    <w:pPr>
      <w:tabs>
        <w:tab w:val="center" w:pos="4819"/>
        <w:tab w:val="right" w:pos="9638"/>
      </w:tabs>
      <w:jc w:val="center"/>
    </w:pPr>
    <w:rPr>
      <w:i/>
      <w:iCs/>
    </w:rPr>
  </w:style>
  <w:style w:type="character" w:customStyle="1" w:styleId="HeaderChar">
    <w:name w:val="Header Char"/>
    <w:basedOn w:val="DefaultParagraphFont"/>
    <w:link w:val="Header"/>
    <w:uiPriority w:val="99"/>
    <w:locked/>
    <w:rsid w:val="00125128"/>
    <w:rPr>
      <w:rFonts w:ascii="Times New Roman" w:hAnsi="Times New Roman" w:cs="Times New Roman"/>
      <w:i/>
      <w:iCs/>
      <w:sz w:val="28"/>
      <w:szCs w:val="28"/>
    </w:rPr>
  </w:style>
  <w:style w:type="paragraph" w:styleId="Footer">
    <w:name w:val="footer"/>
    <w:basedOn w:val="Normal"/>
    <w:link w:val="FooterChar"/>
    <w:uiPriority w:val="99"/>
    <w:rsid w:val="00A836FE"/>
    <w:pPr>
      <w:tabs>
        <w:tab w:val="center" w:pos="4819"/>
        <w:tab w:val="right" w:pos="9638"/>
      </w:tabs>
    </w:pPr>
    <w:rPr>
      <w:sz w:val="20"/>
      <w:szCs w:val="20"/>
    </w:rPr>
  </w:style>
  <w:style w:type="character" w:customStyle="1" w:styleId="FooterChar">
    <w:name w:val="Footer Char"/>
    <w:basedOn w:val="DefaultParagraphFont"/>
    <w:link w:val="Footer"/>
    <w:uiPriority w:val="99"/>
    <w:locked/>
    <w:rsid w:val="00A836FE"/>
    <w:rPr>
      <w:rFonts w:ascii="Times New Roman" w:hAnsi="Times New Roman" w:cs="Times New Roman"/>
      <w:sz w:val="20"/>
      <w:szCs w:val="20"/>
    </w:rPr>
  </w:style>
  <w:style w:type="paragraph" w:customStyle="1" w:styleId="Contenutotabella">
    <w:name w:val="Contenuto tabella"/>
    <w:basedOn w:val="Normal"/>
    <w:uiPriority w:val="99"/>
    <w:rsid w:val="005C6409"/>
    <w:pPr>
      <w:widowControl w:val="0"/>
      <w:suppressLineNumbers/>
      <w:suppressAutoHyphens/>
    </w:pPr>
    <w:rPr>
      <w:kern w:val="1"/>
    </w:rPr>
  </w:style>
  <w:style w:type="character" w:styleId="Hyperlink">
    <w:name w:val="Hyperlink"/>
    <w:basedOn w:val="DefaultParagraphFont"/>
    <w:uiPriority w:val="99"/>
    <w:rsid w:val="00C07B34"/>
    <w:rPr>
      <w:rFonts w:cs="Times New Roman"/>
      <w:color w:val="0000FF"/>
      <w:u w:val="single"/>
    </w:rPr>
  </w:style>
  <w:style w:type="paragraph" w:styleId="NormalWeb">
    <w:name w:val="Normal (Web)"/>
    <w:basedOn w:val="Normal"/>
    <w:uiPriority w:val="99"/>
    <w:rsid w:val="00455A44"/>
    <w:pPr>
      <w:spacing w:before="100" w:beforeAutospacing="1" w:after="225" w:line="348" w:lineRule="auto"/>
      <w:ind w:left="75"/>
    </w:pPr>
    <w:rPr>
      <w:rFonts w:ascii="Verdana" w:eastAsia="Times New Roman" w:hAnsi="Verdana" w:cs="Verdana"/>
      <w:color w:val="000000"/>
      <w:sz w:val="18"/>
      <w:szCs w:val="18"/>
      <w:lang w:eastAsia="it-IT"/>
    </w:rPr>
  </w:style>
  <w:style w:type="character" w:styleId="Strong">
    <w:name w:val="Strong"/>
    <w:basedOn w:val="DefaultParagraphFont"/>
    <w:uiPriority w:val="99"/>
    <w:qFormat/>
    <w:rsid w:val="00455A44"/>
    <w:rPr>
      <w:rFonts w:cs="Times New Roman"/>
      <w:b/>
      <w:bCs/>
    </w:rPr>
  </w:style>
  <w:style w:type="character" w:styleId="CommentReference">
    <w:name w:val="annotation reference"/>
    <w:basedOn w:val="DefaultParagraphFont"/>
    <w:uiPriority w:val="99"/>
    <w:semiHidden/>
    <w:rsid w:val="008D5833"/>
    <w:rPr>
      <w:rFonts w:cs="Times New Roman"/>
      <w:sz w:val="16"/>
      <w:szCs w:val="16"/>
    </w:rPr>
  </w:style>
  <w:style w:type="paragraph" w:styleId="CommentText">
    <w:name w:val="annotation text"/>
    <w:basedOn w:val="Normal"/>
    <w:link w:val="CommentTextChar"/>
    <w:uiPriority w:val="99"/>
    <w:semiHidden/>
    <w:rsid w:val="008D5833"/>
    <w:rPr>
      <w:sz w:val="20"/>
      <w:szCs w:val="20"/>
    </w:rPr>
  </w:style>
  <w:style w:type="character" w:customStyle="1" w:styleId="CommentTextChar">
    <w:name w:val="Comment Text Char"/>
    <w:basedOn w:val="DefaultParagraphFont"/>
    <w:link w:val="CommentText"/>
    <w:uiPriority w:val="99"/>
    <w:semiHidden/>
    <w:locked/>
    <w:rsid w:val="008D5833"/>
    <w:rPr>
      <w:rFonts w:cs="Times New Roman"/>
      <w:sz w:val="20"/>
      <w:szCs w:val="20"/>
    </w:rPr>
  </w:style>
  <w:style w:type="paragraph" w:styleId="CommentSubject">
    <w:name w:val="annotation subject"/>
    <w:basedOn w:val="CommentText"/>
    <w:next w:val="CommentText"/>
    <w:link w:val="CommentSubjectChar"/>
    <w:uiPriority w:val="99"/>
    <w:semiHidden/>
    <w:rsid w:val="008D5833"/>
    <w:rPr>
      <w:b/>
      <w:bCs/>
    </w:rPr>
  </w:style>
  <w:style w:type="character" w:customStyle="1" w:styleId="CommentSubjectChar">
    <w:name w:val="Comment Subject Char"/>
    <w:basedOn w:val="CommentTextChar"/>
    <w:link w:val="CommentSubject"/>
    <w:uiPriority w:val="99"/>
    <w:semiHidden/>
    <w:locked/>
    <w:rsid w:val="008D5833"/>
    <w:rPr>
      <w:b/>
      <w:bCs/>
    </w:rPr>
  </w:style>
  <w:style w:type="paragraph" w:styleId="Revision">
    <w:name w:val="Revision"/>
    <w:hidden/>
    <w:uiPriority w:val="99"/>
    <w:semiHidden/>
    <w:rsid w:val="008D5833"/>
    <w:rPr>
      <w:rFonts w:cs="Calibri"/>
      <w:lang w:val="it-IT" w:eastAsia="en-US"/>
    </w:rPr>
  </w:style>
  <w:style w:type="paragraph" w:customStyle="1" w:styleId="Default">
    <w:name w:val="Default"/>
    <w:uiPriority w:val="99"/>
    <w:rsid w:val="003D06DB"/>
    <w:pPr>
      <w:autoSpaceDE w:val="0"/>
      <w:autoSpaceDN w:val="0"/>
      <w:adjustRightInd w:val="0"/>
    </w:pPr>
    <w:rPr>
      <w:rFonts w:ascii="Times New Roman" w:hAnsi="Times New Roman"/>
      <w:color w:val="000000"/>
      <w:sz w:val="24"/>
      <w:szCs w:val="24"/>
      <w:lang w:val="it-IT" w:eastAsia="en-US"/>
    </w:rPr>
  </w:style>
  <w:style w:type="paragraph" w:styleId="TOCHeading">
    <w:name w:val="TOC Heading"/>
    <w:basedOn w:val="Normal"/>
    <w:next w:val="Normal"/>
    <w:uiPriority w:val="99"/>
    <w:qFormat/>
    <w:rsid w:val="007C2F13"/>
    <w:pPr>
      <w:keepNext/>
      <w:keepLines/>
      <w:spacing w:before="480" w:after="1200" w:line="276" w:lineRule="auto"/>
    </w:pPr>
    <w:rPr>
      <w:b/>
      <w:bCs/>
      <w:sz w:val="32"/>
      <w:szCs w:val="32"/>
    </w:rPr>
  </w:style>
  <w:style w:type="paragraph" w:styleId="TOC1">
    <w:name w:val="toc 1"/>
    <w:basedOn w:val="Normal"/>
    <w:next w:val="Normal"/>
    <w:autoRedefine/>
    <w:uiPriority w:val="99"/>
    <w:rsid w:val="00702AAE"/>
    <w:pPr>
      <w:tabs>
        <w:tab w:val="left" w:pos="630"/>
        <w:tab w:val="right" w:pos="9302"/>
      </w:tabs>
      <w:spacing w:before="600"/>
      <w:ind w:right="-14"/>
    </w:pPr>
    <w:rPr>
      <w:b/>
      <w:bCs/>
      <w:caps/>
      <w:noProof/>
      <w:sz w:val="32"/>
      <w:szCs w:val="32"/>
    </w:rPr>
  </w:style>
  <w:style w:type="paragraph" w:styleId="TOC2">
    <w:name w:val="toc 2"/>
    <w:basedOn w:val="Normal"/>
    <w:next w:val="Normal"/>
    <w:autoRedefine/>
    <w:uiPriority w:val="99"/>
    <w:rsid w:val="001216A7"/>
    <w:pPr>
      <w:tabs>
        <w:tab w:val="left" w:pos="630"/>
        <w:tab w:val="right" w:pos="9302"/>
      </w:tabs>
      <w:spacing w:before="120"/>
    </w:pPr>
    <w:rPr>
      <w:noProof/>
    </w:rPr>
  </w:style>
  <w:style w:type="paragraph" w:styleId="TOC3">
    <w:name w:val="toc 3"/>
    <w:basedOn w:val="Normal"/>
    <w:next w:val="Normal"/>
    <w:autoRedefine/>
    <w:uiPriority w:val="99"/>
    <w:semiHidden/>
    <w:rsid w:val="00A14DD9"/>
    <w:pPr>
      <w:tabs>
        <w:tab w:val="left" w:pos="1350"/>
        <w:tab w:val="right" w:pos="9302"/>
      </w:tabs>
      <w:spacing w:before="120"/>
      <w:ind w:left="245" w:right="-560" w:firstLine="389"/>
    </w:pPr>
    <w:rPr>
      <w:noProof/>
      <w:sz w:val="26"/>
      <w:szCs w:val="26"/>
    </w:rPr>
  </w:style>
  <w:style w:type="paragraph" w:styleId="BodyText">
    <w:name w:val="Body Text"/>
    <w:basedOn w:val="Normal"/>
    <w:link w:val="BodyTextChar"/>
    <w:uiPriority w:val="99"/>
    <w:rsid w:val="00403314"/>
    <w:pPr>
      <w:spacing w:after="120"/>
    </w:pPr>
    <w:rPr>
      <w:rFonts w:ascii="Cambria" w:hAnsi="Cambria" w:cs="Cambria"/>
    </w:rPr>
  </w:style>
  <w:style w:type="character" w:customStyle="1" w:styleId="BodyTextChar">
    <w:name w:val="Body Text Char"/>
    <w:basedOn w:val="DefaultParagraphFont"/>
    <w:link w:val="BodyText"/>
    <w:uiPriority w:val="99"/>
    <w:locked/>
    <w:rsid w:val="00403314"/>
    <w:rPr>
      <w:rFonts w:ascii="Cambria" w:hAnsi="Cambria" w:cs="Cambria"/>
      <w:sz w:val="24"/>
      <w:szCs w:val="24"/>
    </w:rPr>
  </w:style>
  <w:style w:type="table" w:styleId="MediumGrid3-Accent5">
    <w:name w:val="Medium Grid 3 Accent 5"/>
    <w:basedOn w:val="TableNormal"/>
    <w:uiPriority w:val="99"/>
    <w:rsid w:val="00C90FD2"/>
    <w:rPr>
      <w:rFonts w:ascii="Times New Roman" w:eastAsia="Times New Roman" w:hAnsi="Times New Roman"/>
      <w:sz w:val="20"/>
      <w:szCs w:val="20"/>
      <w:lang w:eastAsia="it-I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2-Accent1">
    <w:name w:val="Medium Grid 2 Accent 1"/>
    <w:basedOn w:val="TableNormal"/>
    <w:uiPriority w:val="99"/>
    <w:rsid w:val="00C90FD2"/>
    <w:rPr>
      <w:rFonts w:ascii="Cambria" w:eastAsia="SimSun"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Cambria"/>
        <w:b/>
        <w:bCs/>
        <w:color w:val="000000"/>
      </w:rPr>
      <w:tblPr/>
      <w:tcPr>
        <w:shd w:val="clear" w:color="auto" w:fill="EDF2F8"/>
      </w:tcPr>
    </w:tblStylePr>
    <w:tblStylePr w:type="lastRow">
      <w:rPr>
        <w:rFonts w:cs="Cambria"/>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mbria"/>
        <w:b/>
        <w:bCs/>
        <w:color w:val="000000"/>
      </w:rPr>
      <w:tblPr/>
      <w:tcPr>
        <w:tcBorders>
          <w:top w:val="nil"/>
          <w:left w:val="nil"/>
          <w:bottom w:val="nil"/>
          <w:right w:val="nil"/>
          <w:insideH w:val="nil"/>
          <w:insideV w:val="nil"/>
        </w:tcBorders>
        <w:shd w:val="clear" w:color="auto" w:fill="FFFFFF"/>
      </w:tcPr>
    </w:tblStylePr>
    <w:tblStylePr w:type="lastCol">
      <w:rPr>
        <w:rFonts w:cs="Cambria"/>
        <w:b w:val="0"/>
        <w:bCs w:val="0"/>
        <w:color w:val="000000"/>
      </w:rPr>
      <w:tblPr/>
      <w:tcPr>
        <w:tcBorders>
          <w:top w:val="nil"/>
          <w:left w:val="nil"/>
          <w:bottom w:val="nil"/>
          <w:right w:val="nil"/>
          <w:insideH w:val="nil"/>
          <w:insideV w:val="nil"/>
        </w:tcBorders>
        <w:shd w:val="clear" w:color="auto" w:fill="DBE5F1"/>
      </w:tcPr>
    </w:tblStylePr>
    <w:tblStylePr w:type="band1Vert">
      <w:rPr>
        <w:rFonts w:cs="Cambria"/>
      </w:rPr>
      <w:tblPr/>
      <w:tcPr>
        <w:shd w:val="clear" w:color="auto" w:fill="A7BFDE"/>
      </w:tcPr>
    </w:tblStylePr>
    <w:tblStylePr w:type="band1Horz">
      <w:rPr>
        <w:rFonts w:cs="Cambria"/>
      </w:rPr>
      <w:tblPr/>
      <w:tcPr>
        <w:tcBorders>
          <w:insideH w:val="single" w:sz="6" w:space="0" w:color="4F81BD"/>
          <w:insideV w:val="single" w:sz="6" w:space="0" w:color="4F81BD"/>
        </w:tcBorders>
        <w:shd w:val="clear" w:color="auto" w:fill="A7BFDE"/>
      </w:tcPr>
    </w:tblStylePr>
    <w:tblStylePr w:type="nwCell">
      <w:rPr>
        <w:rFonts w:cs="Cambria"/>
      </w:rPr>
      <w:tblPr/>
      <w:tcPr>
        <w:shd w:val="clear" w:color="auto" w:fill="FFFFFF"/>
      </w:tcPr>
    </w:tblStylePr>
  </w:style>
  <w:style w:type="paragraph" w:styleId="NoSpacing">
    <w:name w:val="No Spacing"/>
    <w:link w:val="NoSpacingChar"/>
    <w:uiPriority w:val="99"/>
    <w:qFormat/>
    <w:rsid w:val="00A917C8"/>
    <w:rPr>
      <w:rFonts w:cs="Calibri"/>
      <w:lang w:val="it-IT" w:eastAsia="en-US"/>
    </w:rPr>
  </w:style>
  <w:style w:type="paragraph" w:styleId="Title">
    <w:name w:val="Title"/>
    <w:basedOn w:val="Normal"/>
    <w:next w:val="Normal"/>
    <w:link w:val="TitleChar"/>
    <w:uiPriority w:val="99"/>
    <w:qFormat/>
    <w:rsid w:val="00A917C8"/>
    <w:pPr>
      <w:pBdr>
        <w:bottom w:val="single" w:sz="8" w:space="4" w:color="4F81BD"/>
      </w:pBdr>
      <w:spacing w:after="300"/>
      <w:contextualSpacing/>
    </w:pPr>
    <w:rPr>
      <w:rFonts w:ascii="Cambria" w:eastAsia="SimSun" w:hAnsi="Cambria" w:cs="Cambria"/>
      <w:color w:val="17365D"/>
      <w:spacing w:val="5"/>
      <w:kern w:val="28"/>
      <w:sz w:val="52"/>
      <w:szCs w:val="52"/>
    </w:rPr>
  </w:style>
  <w:style w:type="character" w:customStyle="1" w:styleId="TitleChar">
    <w:name w:val="Title Char"/>
    <w:basedOn w:val="DefaultParagraphFont"/>
    <w:link w:val="Title"/>
    <w:uiPriority w:val="99"/>
    <w:locked/>
    <w:rsid w:val="00A917C8"/>
    <w:rPr>
      <w:rFonts w:ascii="Cambria" w:eastAsia="SimSun" w:hAnsi="Cambria" w:cs="Cambria"/>
      <w:color w:val="17365D"/>
      <w:spacing w:val="5"/>
      <w:kern w:val="28"/>
      <w:sz w:val="52"/>
      <w:szCs w:val="52"/>
    </w:rPr>
  </w:style>
  <w:style w:type="paragraph" w:customStyle="1" w:styleId="Paragrafoelenco2">
    <w:name w:val="Paragrafo elenco2"/>
    <w:basedOn w:val="Normal"/>
    <w:uiPriority w:val="99"/>
    <w:rsid w:val="009C2447"/>
    <w:pPr>
      <w:ind w:left="720"/>
      <w:contextualSpacing/>
    </w:pPr>
    <w:rPr>
      <w:rFonts w:eastAsia="Times New Roman"/>
    </w:rPr>
  </w:style>
  <w:style w:type="paragraph" w:customStyle="1" w:styleId="Normale1">
    <w:name w:val="Normale1"/>
    <w:uiPriority w:val="99"/>
    <w:rsid w:val="004E2A25"/>
    <w:pPr>
      <w:spacing w:after="200" w:line="276" w:lineRule="auto"/>
    </w:pPr>
    <w:rPr>
      <w:rFonts w:ascii="Arial Narrow" w:eastAsia="Times New Roman" w:hAnsi="Times New Roman" w:cs="Arial Narrow"/>
      <w:sz w:val="24"/>
      <w:szCs w:val="24"/>
      <w:lang w:val="it-IT" w:eastAsia="en-US"/>
    </w:rPr>
  </w:style>
  <w:style w:type="paragraph" w:customStyle="1" w:styleId="Paragrafoelenco3">
    <w:name w:val="Paragrafo elenco3"/>
    <w:basedOn w:val="Normale1"/>
    <w:uiPriority w:val="99"/>
    <w:rsid w:val="004E2A25"/>
    <w:pPr>
      <w:ind w:left="720"/>
      <w:contextualSpacing/>
    </w:pPr>
  </w:style>
  <w:style w:type="table" w:customStyle="1" w:styleId="Tabellanorm">
    <w:name w:val="Tabella norm"/>
    <w:uiPriority w:val="99"/>
    <w:semiHidden/>
    <w:rsid w:val="00655C04"/>
    <w:rPr>
      <w:rFonts w:eastAsia="Times New Roman" w:cs="Calibri"/>
      <w:sz w:val="20"/>
      <w:szCs w:val="20"/>
      <w:lang w:val="it-IT" w:eastAsia="en-US"/>
    </w:rPr>
    <w:tblPr>
      <w:tblInd w:w="0" w:type="dxa"/>
      <w:tblCellMar>
        <w:top w:w="0" w:type="dxa"/>
        <w:left w:w="108" w:type="dxa"/>
        <w:bottom w:w="0" w:type="dxa"/>
        <w:right w:w="108" w:type="dxa"/>
      </w:tblCellMar>
    </w:tblPr>
  </w:style>
  <w:style w:type="paragraph" w:customStyle="1" w:styleId="Normale2">
    <w:name w:val="Normale2"/>
    <w:uiPriority w:val="99"/>
    <w:rsid w:val="00F67A94"/>
    <w:pPr>
      <w:spacing w:after="200" w:line="276" w:lineRule="auto"/>
    </w:pPr>
    <w:rPr>
      <w:rFonts w:ascii="Arial Narrow" w:eastAsia="Times New Roman" w:hAnsi="Times New Roman" w:cs="Arial Narrow"/>
      <w:sz w:val="24"/>
      <w:szCs w:val="24"/>
      <w:lang w:val="it-IT" w:eastAsia="en-US"/>
    </w:rPr>
  </w:style>
  <w:style w:type="character" w:styleId="HTMLCite">
    <w:name w:val="HTML Cite"/>
    <w:basedOn w:val="DefaultParagraphFont"/>
    <w:uiPriority w:val="99"/>
    <w:semiHidden/>
    <w:rsid w:val="00326738"/>
    <w:rPr>
      <w:rFonts w:cs="Times New Roman"/>
      <w:i/>
      <w:iCs/>
    </w:rPr>
  </w:style>
  <w:style w:type="paragraph" w:customStyle="1" w:styleId="Normale3">
    <w:name w:val="Normale3"/>
    <w:uiPriority w:val="99"/>
    <w:rsid w:val="00454A53"/>
    <w:pPr>
      <w:spacing w:after="200" w:line="276" w:lineRule="auto"/>
    </w:pPr>
    <w:rPr>
      <w:rFonts w:ascii="Arial Narrow" w:eastAsia="Times New Roman" w:hAnsi="Times New Roman" w:cs="Arial Narrow"/>
      <w:sz w:val="24"/>
      <w:szCs w:val="24"/>
      <w:lang w:val="it-IT" w:eastAsia="en-US"/>
    </w:rPr>
  </w:style>
  <w:style w:type="paragraph" w:styleId="TOC4">
    <w:name w:val="toc 4"/>
    <w:basedOn w:val="Normal"/>
    <w:next w:val="Normal"/>
    <w:autoRedefine/>
    <w:uiPriority w:val="99"/>
    <w:semiHidden/>
    <w:rsid w:val="00DE1196"/>
    <w:pPr>
      <w:ind w:left="480"/>
    </w:pPr>
    <w:rPr>
      <w:rFonts w:ascii="Calibri" w:hAnsi="Calibri" w:cs="Calibri"/>
      <w:sz w:val="20"/>
      <w:szCs w:val="20"/>
    </w:rPr>
  </w:style>
  <w:style w:type="paragraph" w:styleId="TOC5">
    <w:name w:val="toc 5"/>
    <w:basedOn w:val="Normal"/>
    <w:next w:val="Normal"/>
    <w:autoRedefine/>
    <w:uiPriority w:val="99"/>
    <w:semiHidden/>
    <w:rsid w:val="00DE1196"/>
    <w:pPr>
      <w:ind w:left="720"/>
    </w:pPr>
    <w:rPr>
      <w:rFonts w:ascii="Calibri" w:hAnsi="Calibri" w:cs="Calibri"/>
      <w:sz w:val="20"/>
      <w:szCs w:val="20"/>
    </w:rPr>
  </w:style>
  <w:style w:type="paragraph" w:styleId="TOC6">
    <w:name w:val="toc 6"/>
    <w:basedOn w:val="Normal"/>
    <w:next w:val="Normal"/>
    <w:autoRedefine/>
    <w:uiPriority w:val="99"/>
    <w:semiHidden/>
    <w:rsid w:val="00DE1196"/>
    <w:pPr>
      <w:ind w:left="960"/>
    </w:pPr>
    <w:rPr>
      <w:rFonts w:ascii="Calibri" w:hAnsi="Calibri" w:cs="Calibri"/>
      <w:sz w:val="20"/>
      <w:szCs w:val="20"/>
    </w:rPr>
  </w:style>
  <w:style w:type="paragraph" w:styleId="TOC7">
    <w:name w:val="toc 7"/>
    <w:basedOn w:val="Normal"/>
    <w:next w:val="Normal"/>
    <w:autoRedefine/>
    <w:uiPriority w:val="99"/>
    <w:semiHidden/>
    <w:rsid w:val="00DE1196"/>
    <w:pPr>
      <w:ind w:left="1200"/>
    </w:pPr>
    <w:rPr>
      <w:rFonts w:ascii="Calibri" w:hAnsi="Calibri" w:cs="Calibri"/>
      <w:sz w:val="20"/>
      <w:szCs w:val="20"/>
    </w:rPr>
  </w:style>
  <w:style w:type="paragraph" w:styleId="TOC8">
    <w:name w:val="toc 8"/>
    <w:basedOn w:val="Normal"/>
    <w:next w:val="Normal"/>
    <w:autoRedefine/>
    <w:uiPriority w:val="99"/>
    <w:semiHidden/>
    <w:rsid w:val="00DE1196"/>
    <w:pPr>
      <w:ind w:left="1440"/>
    </w:pPr>
    <w:rPr>
      <w:rFonts w:ascii="Calibri" w:hAnsi="Calibri" w:cs="Calibri"/>
      <w:sz w:val="20"/>
      <w:szCs w:val="20"/>
    </w:rPr>
  </w:style>
  <w:style w:type="paragraph" w:styleId="TOC9">
    <w:name w:val="toc 9"/>
    <w:basedOn w:val="Normal"/>
    <w:next w:val="Normal"/>
    <w:autoRedefine/>
    <w:uiPriority w:val="99"/>
    <w:semiHidden/>
    <w:rsid w:val="00DE1196"/>
    <w:pPr>
      <w:ind w:left="1680"/>
    </w:pPr>
    <w:rPr>
      <w:rFonts w:ascii="Calibri" w:hAnsi="Calibri" w:cs="Calibri"/>
      <w:sz w:val="20"/>
      <w:szCs w:val="20"/>
    </w:rPr>
  </w:style>
  <w:style w:type="character" w:customStyle="1" w:styleId="NoSpacingChar">
    <w:name w:val="No Spacing Char"/>
    <w:basedOn w:val="DefaultParagraphFont"/>
    <w:link w:val="NoSpacing"/>
    <w:uiPriority w:val="99"/>
    <w:locked/>
    <w:rsid w:val="00671E78"/>
    <w:rPr>
      <w:rFonts w:cs="Calibri"/>
      <w:sz w:val="22"/>
      <w:szCs w:val="22"/>
      <w:lang w:val="it-IT" w:eastAsia="en-US" w:bidi="ar-SA"/>
    </w:rPr>
  </w:style>
  <w:style w:type="paragraph" w:customStyle="1" w:styleId="elencopuntatolettere">
    <w:name w:val="elenco puntato lettere"/>
    <w:basedOn w:val="ListParagraph"/>
    <w:link w:val="elencopuntatolettereCarattere1"/>
    <w:uiPriority w:val="99"/>
    <w:rsid w:val="001C5791"/>
    <w:pPr>
      <w:numPr>
        <w:numId w:val="2"/>
      </w:numPr>
    </w:pPr>
  </w:style>
  <w:style w:type="paragraph" w:styleId="PlainText">
    <w:name w:val="Plain Text"/>
    <w:basedOn w:val="Normal"/>
    <w:link w:val="PlainTextChar"/>
    <w:uiPriority w:val="99"/>
    <w:semiHidden/>
    <w:rsid w:val="00AD1C2C"/>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AD1C2C"/>
    <w:rPr>
      <w:rFonts w:ascii="Consolas" w:hAnsi="Consolas" w:cs="Consolas"/>
      <w:sz w:val="21"/>
      <w:szCs w:val="21"/>
    </w:rPr>
  </w:style>
  <w:style w:type="paragraph" w:customStyle="1" w:styleId="elencopuntatosimboli">
    <w:name w:val="elenco puntato simboli"/>
    <w:basedOn w:val="elencopuntatolettere"/>
    <w:link w:val="elencopuntatosimboliCarattere1"/>
    <w:uiPriority w:val="99"/>
    <w:rsid w:val="00847A5F"/>
    <w:pPr>
      <w:numPr>
        <w:numId w:val="3"/>
      </w:numPr>
    </w:pPr>
  </w:style>
  <w:style w:type="character" w:customStyle="1" w:styleId="ListParagraphChar">
    <w:name w:val="List Paragraph Char"/>
    <w:basedOn w:val="DefaultParagraphFont"/>
    <w:link w:val="ListParagraph"/>
    <w:uiPriority w:val="99"/>
    <w:locked/>
    <w:rsid w:val="001C5791"/>
    <w:rPr>
      <w:rFonts w:ascii="Georgia" w:hAnsi="Georgia" w:cs="Georgia"/>
      <w:sz w:val="24"/>
      <w:szCs w:val="24"/>
    </w:rPr>
  </w:style>
  <w:style w:type="character" w:customStyle="1" w:styleId="elencopuntatolettereCarattere">
    <w:name w:val="elenco puntato lettere Carattere"/>
    <w:basedOn w:val="ListParagraphChar"/>
    <w:uiPriority w:val="99"/>
    <w:rsid w:val="001C5791"/>
  </w:style>
  <w:style w:type="paragraph" w:customStyle="1" w:styleId="elencopuntatopilivelli">
    <w:name w:val="elenco puntato più livelli"/>
    <w:basedOn w:val="elencopuntatosimboli"/>
    <w:link w:val="elencopuntatopilivelliCarattere"/>
    <w:uiPriority w:val="99"/>
    <w:rsid w:val="00847A5F"/>
    <w:pPr>
      <w:numPr>
        <w:ilvl w:val="1"/>
        <w:numId w:val="4"/>
      </w:numPr>
    </w:pPr>
  </w:style>
  <w:style w:type="character" w:customStyle="1" w:styleId="elencopuntatolettereCarattere1">
    <w:name w:val="elenco puntato lettere Carattere1"/>
    <w:basedOn w:val="ListParagraphChar"/>
    <w:link w:val="elencopuntatolettere"/>
    <w:uiPriority w:val="99"/>
    <w:locked/>
    <w:rsid w:val="00847A5F"/>
    <w:rPr>
      <w:rFonts w:ascii="Times New Roman" w:hAnsi="Times New Roman" w:cs="Times New Roman"/>
      <w:sz w:val="28"/>
      <w:szCs w:val="28"/>
      <w:lang w:eastAsia="en-US"/>
    </w:rPr>
  </w:style>
  <w:style w:type="character" w:customStyle="1" w:styleId="elencopuntatosimboliCarattere">
    <w:name w:val="elenco puntato simboli Carattere"/>
    <w:basedOn w:val="elencopuntatolettereCarattere1"/>
    <w:uiPriority w:val="99"/>
    <w:rsid w:val="00847A5F"/>
  </w:style>
  <w:style w:type="paragraph" w:customStyle="1" w:styleId="didascalia">
    <w:name w:val="didascalia"/>
    <w:basedOn w:val="Normal"/>
    <w:link w:val="didascaliaCarattere"/>
    <w:uiPriority w:val="99"/>
    <w:rsid w:val="00847A5F"/>
    <w:rPr>
      <w:b/>
      <w:bCs/>
      <w:sz w:val="20"/>
      <w:szCs w:val="20"/>
    </w:rPr>
  </w:style>
  <w:style w:type="character" w:customStyle="1" w:styleId="elencopuntatosimboliCarattere1">
    <w:name w:val="elenco puntato simboli Carattere1"/>
    <w:basedOn w:val="elencopuntatolettereCarattere1"/>
    <w:link w:val="elencopuntatosimboli"/>
    <w:uiPriority w:val="99"/>
    <w:locked/>
    <w:rsid w:val="00847A5F"/>
  </w:style>
  <w:style w:type="character" w:customStyle="1" w:styleId="elencopuntatopilivelliCarattere">
    <w:name w:val="elenco puntato più livelli Carattere"/>
    <w:basedOn w:val="elencopuntatosimboliCarattere1"/>
    <w:link w:val="elencopuntatopilivelli"/>
    <w:uiPriority w:val="99"/>
    <w:locked/>
    <w:rsid w:val="00847A5F"/>
  </w:style>
  <w:style w:type="paragraph" w:customStyle="1" w:styleId="testobox">
    <w:name w:val="testo box"/>
    <w:basedOn w:val="Normal"/>
    <w:link w:val="testoboxCarattere"/>
    <w:uiPriority w:val="99"/>
    <w:rsid w:val="00C423AC"/>
    <w:rPr>
      <w:sz w:val="22"/>
      <w:szCs w:val="22"/>
    </w:rPr>
  </w:style>
  <w:style w:type="character" w:customStyle="1" w:styleId="didascaliaCarattere">
    <w:name w:val="didascalia Carattere"/>
    <w:basedOn w:val="DefaultParagraphFont"/>
    <w:link w:val="didascalia"/>
    <w:uiPriority w:val="99"/>
    <w:locked/>
    <w:rsid w:val="00847A5F"/>
    <w:rPr>
      <w:rFonts w:ascii="Georgia" w:hAnsi="Georgia" w:cs="Georgia"/>
      <w:b/>
      <w:bCs/>
      <w:sz w:val="20"/>
      <w:szCs w:val="20"/>
    </w:rPr>
  </w:style>
  <w:style w:type="paragraph" w:customStyle="1" w:styleId="testotabella">
    <w:name w:val="testo tabella"/>
    <w:basedOn w:val="didascalia"/>
    <w:link w:val="testotabellaCarattere"/>
    <w:uiPriority w:val="99"/>
    <w:rsid w:val="00FE6273"/>
    <w:pPr>
      <w:spacing w:before="240" w:after="240"/>
    </w:pPr>
    <w:rPr>
      <w:b w:val="0"/>
      <w:bCs w:val="0"/>
    </w:rPr>
  </w:style>
  <w:style w:type="character" w:customStyle="1" w:styleId="testoboxCarattere">
    <w:name w:val="testo box Carattere"/>
    <w:basedOn w:val="DefaultParagraphFont"/>
    <w:link w:val="testobox"/>
    <w:uiPriority w:val="99"/>
    <w:locked/>
    <w:rsid w:val="00C423AC"/>
    <w:rPr>
      <w:rFonts w:ascii="Georgia" w:hAnsi="Georgia" w:cs="Georgia"/>
    </w:rPr>
  </w:style>
  <w:style w:type="paragraph" w:styleId="Subtitle">
    <w:name w:val="Subtitle"/>
    <w:basedOn w:val="Normal"/>
    <w:next w:val="Normal"/>
    <w:link w:val="SubtitleChar"/>
    <w:uiPriority w:val="99"/>
    <w:qFormat/>
    <w:rsid w:val="00C81284"/>
    <w:pPr>
      <w:numPr>
        <w:ilvl w:val="1"/>
      </w:numPr>
    </w:pPr>
    <w:rPr>
      <w:rFonts w:ascii="Cambria" w:eastAsia="SimSun" w:hAnsi="Cambria" w:cs="Cambria"/>
      <w:i/>
      <w:iCs/>
      <w:color w:val="4F81BD"/>
      <w:spacing w:val="15"/>
    </w:rPr>
  </w:style>
  <w:style w:type="character" w:customStyle="1" w:styleId="SubtitleChar">
    <w:name w:val="Subtitle Char"/>
    <w:basedOn w:val="DefaultParagraphFont"/>
    <w:link w:val="Subtitle"/>
    <w:uiPriority w:val="99"/>
    <w:locked/>
    <w:rsid w:val="00C81284"/>
    <w:rPr>
      <w:rFonts w:ascii="Cambria" w:eastAsia="SimSun" w:hAnsi="Cambria" w:cs="Cambria"/>
      <w:i/>
      <w:iCs/>
      <w:color w:val="4F81BD"/>
      <w:spacing w:val="15"/>
      <w:sz w:val="24"/>
      <w:szCs w:val="24"/>
    </w:rPr>
  </w:style>
  <w:style w:type="character" w:customStyle="1" w:styleId="testotabellaCarattere">
    <w:name w:val="testo tabella Carattere"/>
    <w:basedOn w:val="didascaliaCarattere"/>
    <w:link w:val="testotabella"/>
    <w:uiPriority w:val="99"/>
    <w:locked/>
    <w:rsid w:val="00FE6273"/>
  </w:style>
  <w:style w:type="paragraph" w:styleId="Quote">
    <w:name w:val="Quote"/>
    <w:basedOn w:val="Normal"/>
    <w:next w:val="Normal"/>
    <w:link w:val="QuoteChar"/>
    <w:uiPriority w:val="99"/>
    <w:qFormat/>
    <w:rsid w:val="00C81284"/>
    <w:rPr>
      <w:i/>
      <w:iCs/>
      <w:color w:val="000000"/>
    </w:rPr>
  </w:style>
  <w:style w:type="character" w:customStyle="1" w:styleId="QuoteChar">
    <w:name w:val="Quote Char"/>
    <w:basedOn w:val="DefaultParagraphFont"/>
    <w:link w:val="Quote"/>
    <w:uiPriority w:val="99"/>
    <w:locked/>
    <w:rsid w:val="00C81284"/>
    <w:rPr>
      <w:rFonts w:ascii="Georgia" w:hAnsi="Georgia" w:cs="Georgia"/>
      <w:i/>
      <w:iCs/>
      <w:color w:val="000000"/>
      <w:sz w:val="24"/>
      <w:szCs w:val="24"/>
    </w:rPr>
  </w:style>
  <w:style w:type="character" w:styleId="Emphasis">
    <w:name w:val="Emphasis"/>
    <w:basedOn w:val="DefaultParagraphFont"/>
    <w:uiPriority w:val="99"/>
    <w:qFormat/>
    <w:rsid w:val="00A44C9C"/>
    <w:rPr>
      <w:rFonts w:cs="Times New Roman"/>
      <w:i/>
      <w:iCs/>
    </w:rPr>
  </w:style>
  <w:style w:type="paragraph" w:customStyle="1" w:styleId="Tabelle">
    <w:name w:val="Tabelle"/>
    <w:basedOn w:val="Normal"/>
    <w:uiPriority w:val="99"/>
    <w:rsid w:val="00D32927"/>
    <w:pPr>
      <w:widowControl w:val="0"/>
      <w:spacing w:before="40" w:after="40"/>
    </w:pPr>
    <w:rPr>
      <w:rFonts w:ascii="Humnst777 Lt BT" w:eastAsia="Times New Roman" w:hAnsi="Humnst777 Lt BT" w:cs="Humnst777 Lt BT"/>
      <w:sz w:val="16"/>
      <w:szCs w:val="16"/>
      <w:lang w:eastAsia="de-DE"/>
    </w:rPr>
  </w:style>
  <w:style w:type="paragraph" w:customStyle="1" w:styleId="Subheading1">
    <w:name w:val="Sub heading 1"/>
    <w:basedOn w:val="Heading3"/>
    <w:link w:val="Subheading1Char"/>
    <w:uiPriority w:val="99"/>
    <w:rsid w:val="00777174"/>
    <w:rPr>
      <w:rFonts w:ascii="Times New Roman Bold" w:hAnsi="Times New Roman Bold" w:cs="Times New Roman Bold"/>
      <w:smallCaps/>
      <w:lang w:val="en-GB"/>
    </w:rPr>
  </w:style>
  <w:style w:type="paragraph" w:customStyle="1" w:styleId="Subheading2">
    <w:name w:val="Sub heading 2"/>
    <w:basedOn w:val="Normale2"/>
    <w:link w:val="Subheading2Char"/>
    <w:uiPriority w:val="99"/>
    <w:rsid w:val="00462B12"/>
    <w:pPr>
      <w:spacing w:after="0" w:line="240" w:lineRule="auto"/>
    </w:pPr>
    <w:rPr>
      <w:rFonts w:ascii="Times New Roman" w:cs="Times New Roman"/>
      <w:b/>
      <w:bCs/>
      <w:sz w:val="32"/>
      <w:szCs w:val="32"/>
    </w:rPr>
  </w:style>
  <w:style w:type="character" w:customStyle="1" w:styleId="Subheading1Char">
    <w:name w:val="Sub heading 1 Char"/>
    <w:basedOn w:val="Heading2Char"/>
    <w:link w:val="Subheading1"/>
    <w:uiPriority w:val="99"/>
    <w:locked/>
    <w:rsid w:val="00777174"/>
    <w:rPr>
      <w:rFonts w:ascii="Times New Roman Bold" w:hAnsi="Times New Roman Bold" w:cs="Times New Roman Bold"/>
      <w:smallCaps/>
      <w:sz w:val="32"/>
      <w:szCs w:val="32"/>
      <w:lang w:eastAsia="en-US"/>
    </w:rPr>
  </w:style>
  <w:style w:type="character" w:customStyle="1" w:styleId="Subheading2Char">
    <w:name w:val="Sub heading 2 Char"/>
    <w:basedOn w:val="Subheading1Char"/>
    <w:link w:val="Subheading2"/>
    <w:uiPriority w:val="99"/>
    <w:locked/>
    <w:rsid w:val="00462B12"/>
    <w:rPr>
      <w:rFonts w:ascii="Times New Roman" w:hAnsi="Times New Roman" w:cs="Times New Roman"/>
    </w:rPr>
  </w:style>
  <w:style w:type="character" w:styleId="FollowedHyperlink">
    <w:name w:val="FollowedHyperlink"/>
    <w:basedOn w:val="DefaultParagraphFont"/>
    <w:uiPriority w:val="99"/>
    <w:semiHidden/>
    <w:rsid w:val="00E72444"/>
    <w:rPr>
      <w:rFonts w:cs="Times New Roman"/>
      <w:color w:val="800080"/>
      <w:u w:val="single"/>
    </w:rPr>
  </w:style>
  <w:style w:type="table" w:customStyle="1" w:styleId="LightShading1">
    <w:name w:val="Light Shading1"/>
    <w:uiPriority w:val="99"/>
    <w:rsid w:val="00A8058A"/>
    <w:rPr>
      <w:rFonts w:cs="Calibri"/>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Subbullets-linear">
    <w:name w:val="Sub bullets- linear"/>
    <w:basedOn w:val="ListParagraph"/>
    <w:link w:val="Subbullets-linearChar"/>
    <w:uiPriority w:val="99"/>
    <w:rsid w:val="00360206"/>
    <w:pPr>
      <w:numPr>
        <w:numId w:val="5"/>
      </w:numPr>
    </w:pPr>
  </w:style>
  <w:style w:type="paragraph" w:customStyle="1" w:styleId="Mainbullets">
    <w:name w:val="Main bullets"/>
    <w:basedOn w:val="ListParagraph"/>
    <w:link w:val="MainbulletsChar"/>
    <w:uiPriority w:val="99"/>
    <w:rsid w:val="00360206"/>
    <w:pPr>
      <w:numPr>
        <w:numId w:val="6"/>
      </w:numPr>
    </w:pPr>
  </w:style>
  <w:style w:type="character" w:customStyle="1" w:styleId="Subbullets-linearChar">
    <w:name w:val="Sub bullets- linear Char"/>
    <w:basedOn w:val="ListParagraphChar"/>
    <w:link w:val="Subbullets-linear"/>
    <w:uiPriority w:val="99"/>
    <w:locked/>
    <w:rsid w:val="00360206"/>
    <w:rPr>
      <w:rFonts w:ascii="Times New Roman" w:hAnsi="Times New Roman" w:cs="Times New Roman"/>
      <w:sz w:val="28"/>
      <w:szCs w:val="28"/>
      <w:lang w:eastAsia="en-US"/>
    </w:rPr>
  </w:style>
  <w:style w:type="paragraph" w:customStyle="1" w:styleId="Subbullets-notlinear">
    <w:name w:val="Sub bullets- not linear"/>
    <w:basedOn w:val="ListParagraph"/>
    <w:link w:val="Subbullets-notlinearChar"/>
    <w:uiPriority w:val="99"/>
    <w:rsid w:val="00360206"/>
    <w:pPr>
      <w:numPr>
        <w:numId w:val="7"/>
      </w:numPr>
    </w:pPr>
  </w:style>
  <w:style w:type="character" w:customStyle="1" w:styleId="MainbulletsChar">
    <w:name w:val="Main bullets Char"/>
    <w:basedOn w:val="ListParagraphChar"/>
    <w:link w:val="Mainbullets"/>
    <w:uiPriority w:val="99"/>
    <w:locked/>
    <w:rsid w:val="00360206"/>
    <w:rPr>
      <w:rFonts w:ascii="Times New Roman" w:hAnsi="Times New Roman" w:cs="Times New Roman"/>
      <w:sz w:val="28"/>
      <w:szCs w:val="28"/>
      <w:lang w:eastAsia="en-US"/>
    </w:rPr>
  </w:style>
  <w:style w:type="character" w:customStyle="1" w:styleId="Subbullets-notlinearChar">
    <w:name w:val="Sub bullets- not linear Char"/>
    <w:basedOn w:val="ListParagraphChar"/>
    <w:link w:val="Subbullets-notlinear"/>
    <w:uiPriority w:val="99"/>
    <w:locked/>
    <w:rsid w:val="00360206"/>
    <w:rPr>
      <w:rFonts w:ascii="Times New Roman" w:hAnsi="Times New Roman" w:cs="Times New Roman"/>
      <w:sz w:val="28"/>
      <w:szCs w:val="28"/>
      <w:lang w:eastAsia="en-US"/>
    </w:rPr>
  </w:style>
  <w:style w:type="paragraph" w:customStyle="1" w:styleId="NormaleWeb1">
    <w:name w:val="Normale (Web)1"/>
    <w:basedOn w:val="Normal"/>
    <w:uiPriority w:val="99"/>
    <w:rsid w:val="00A17118"/>
    <w:pPr>
      <w:suppressAutoHyphens/>
      <w:spacing w:after="200" w:line="276" w:lineRule="auto"/>
    </w:pPr>
    <w:rPr>
      <w:rFonts w:ascii="Calibri" w:eastAsia="SimSun" w:hAnsi="Calibri" w:cs="Calibri"/>
      <w:kern w:val="1"/>
      <w:sz w:val="22"/>
      <w:szCs w:val="22"/>
      <w:lang w:eastAsia="ar-SA"/>
    </w:rPr>
  </w:style>
  <w:style w:type="paragraph" w:customStyle="1" w:styleId="Aufzhlung">
    <w:name w:val="Aufzählung"/>
    <w:basedOn w:val="Normal"/>
    <w:uiPriority w:val="99"/>
    <w:rsid w:val="00A17118"/>
    <w:pPr>
      <w:numPr>
        <w:numId w:val="8"/>
      </w:numPr>
      <w:tabs>
        <w:tab w:val="left" w:pos="426"/>
      </w:tabs>
      <w:spacing w:after="70" w:line="280" w:lineRule="exact"/>
    </w:pPr>
    <w:rPr>
      <w:rFonts w:ascii="Humnst777 Lt BT" w:eastAsia="Times New Roman" w:hAnsi="Humnst777 Lt BT" w:cs="Humnst777 Lt BT"/>
      <w:sz w:val="20"/>
      <w:szCs w:val="20"/>
      <w:lang w:val="de-AT" w:eastAsia="de-DE"/>
    </w:rPr>
  </w:style>
  <w:style w:type="paragraph" w:customStyle="1" w:styleId="Style1">
    <w:name w:val="Style1"/>
    <w:basedOn w:val="Normal"/>
    <w:link w:val="Style1Char"/>
    <w:uiPriority w:val="99"/>
    <w:rsid w:val="007338C4"/>
    <w:pPr>
      <w:ind w:left="1134"/>
    </w:pPr>
    <w:rPr>
      <w:color w:val="FFFFFF"/>
      <w:sz w:val="40"/>
      <w:szCs w:val="40"/>
    </w:rPr>
  </w:style>
  <w:style w:type="paragraph" w:customStyle="1" w:styleId="Style2">
    <w:name w:val="Style2"/>
    <w:basedOn w:val="Normal"/>
    <w:link w:val="Style2Char"/>
    <w:uiPriority w:val="99"/>
    <w:rsid w:val="007338C4"/>
    <w:pPr>
      <w:shd w:val="clear" w:color="auto" w:fill="00B0F0"/>
      <w:ind w:left="851"/>
    </w:pPr>
    <w:rPr>
      <w:color w:val="FFFFFF"/>
    </w:rPr>
  </w:style>
  <w:style w:type="character" w:customStyle="1" w:styleId="Style1Char">
    <w:name w:val="Style1 Char"/>
    <w:basedOn w:val="DefaultParagraphFont"/>
    <w:link w:val="Style1"/>
    <w:uiPriority w:val="99"/>
    <w:locked/>
    <w:rsid w:val="007338C4"/>
    <w:rPr>
      <w:rFonts w:ascii="Times New Roman" w:hAnsi="Times New Roman" w:cs="Times New Roman"/>
      <w:color w:val="FFFFFF"/>
      <w:sz w:val="40"/>
      <w:szCs w:val="40"/>
    </w:rPr>
  </w:style>
  <w:style w:type="character" w:customStyle="1" w:styleId="Style2Char">
    <w:name w:val="Style2 Char"/>
    <w:basedOn w:val="DefaultParagraphFont"/>
    <w:link w:val="Style2"/>
    <w:uiPriority w:val="99"/>
    <w:locked/>
    <w:rsid w:val="007338C4"/>
    <w:rPr>
      <w:rFonts w:ascii="Times New Roman" w:hAnsi="Times New Roman" w:cs="Times New Roman"/>
      <w:color w:val="FFFFFF"/>
      <w:sz w:val="24"/>
      <w:szCs w:val="24"/>
      <w:shd w:val="clear" w:color="auto" w:fill="00B0F0"/>
    </w:rPr>
  </w:style>
  <w:style w:type="paragraph" w:styleId="Caption">
    <w:name w:val="caption"/>
    <w:basedOn w:val="Normal"/>
    <w:next w:val="Normal"/>
    <w:uiPriority w:val="99"/>
    <w:qFormat/>
    <w:rsid w:val="00650E3B"/>
    <w:pPr>
      <w:spacing w:after="200"/>
    </w:pPr>
    <w:rPr>
      <w:b/>
      <w:bCs/>
      <w:color w:val="4F81BD"/>
      <w:sz w:val="18"/>
      <w:szCs w:val="18"/>
    </w:rPr>
  </w:style>
  <w:style w:type="character" w:customStyle="1" w:styleId="Chaptertitle">
    <w:name w:val="Chapter title"/>
    <w:basedOn w:val="DefaultParagraphFont"/>
    <w:uiPriority w:val="99"/>
    <w:rsid w:val="00AF71C5"/>
    <w:rPr>
      <w:rFonts w:ascii="Times New Roman Bold" w:hAnsi="Times New Roman Bold" w:cs="Times New Roman"/>
      <w:b/>
      <w:sz w:val="48"/>
    </w:rPr>
  </w:style>
  <w:style w:type="character" w:styleId="PageNumber">
    <w:name w:val="page number"/>
    <w:basedOn w:val="DefaultParagraphFont"/>
    <w:uiPriority w:val="99"/>
    <w:rsid w:val="00AF71C5"/>
    <w:rPr>
      <w:rFonts w:cs="Times New Roman"/>
    </w:rPr>
  </w:style>
  <w:style w:type="character" w:customStyle="1" w:styleId="CharChar4CharChar">
    <w:name w:val="Char Char4 Char Char"/>
    <w:uiPriority w:val="99"/>
    <w:rsid w:val="00AF71C5"/>
    <w:rPr>
      <w:sz w:val="24"/>
      <w:lang w:val="it-IT" w:eastAsia="it-IT"/>
    </w:rPr>
  </w:style>
</w:styles>
</file>

<file path=word/webSettings.xml><?xml version="1.0" encoding="utf-8"?>
<w:webSettings xmlns:r="http://schemas.openxmlformats.org/officeDocument/2006/relationships" xmlns:w="http://schemas.openxmlformats.org/wordprocessingml/2006/main">
  <w:divs>
    <w:div w:id="1439181460">
      <w:marLeft w:val="0"/>
      <w:marRight w:val="0"/>
      <w:marTop w:val="0"/>
      <w:marBottom w:val="0"/>
      <w:divBdr>
        <w:top w:val="none" w:sz="0" w:space="0" w:color="auto"/>
        <w:left w:val="none" w:sz="0" w:space="0" w:color="auto"/>
        <w:bottom w:val="none" w:sz="0" w:space="0" w:color="auto"/>
        <w:right w:val="none" w:sz="0" w:space="0" w:color="auto"/>
      </w:divBdr>
    </w:div>
    <w:div w:id="1439181461">
      <w:marLeft w:val="0"/>
      <w:marRight w:val="0"/>
      <w:marTop w:val="0"/>
      <w:marBottom w:val="0"/>
      <w:divBdr>
        <w:top w:val="none" w:sz="0" w:space="0" w:color="auto"/>
        <w:left w:val="none" w:sz="0" w:space="0" w:color="auto"/>
        <w:bottom w:val="none" w:sz="0" w:space="0" w:color="auto"/>
        <w:right w:val="none" w:sz="0" w:space="0" w:color="auto"/>
      </w:divBdr>
    </w:div>
    <w:div w:id="1439181464">
      <w:marLeft w:val="0"/>
      <w:marRight w:val="0"/>
      <w:marTop w:val="0"/>
      <w:marBottom w:val="0"/>
      <w:divBdr>
        <w:top w:val="none" w:sz="0" w:space="0" w:color="auto"/>
        <w:left w:val="none" w:sz="0" w:space="0" w:color="auto"/>
        <w:bottom w:val="none" w:sz="0" w:space="0" w:color="auto"/>
        <w:right w:val="none" w:sz="0" w:space="0" w:color="auto"/>
      </w:divBdr>
    </w:div>
    <w:div w:id="1439181465">
      <w:marLeft w:val="0"/>
      <w:marRight w:val="0"/>
      <w:marTop w:val="0"/>
      <w:marBottom w:val="0"/>
      <w:divBdr>
        <w:top w:val="none" w:sz="0" w:space="0" w:color="auto"/>
        <w:left w:val="none" w:sz="0" w:space="0" w:color="auto"/>
        <w:bottom w:val="none" w:sz="0" w:space="0" w:color="auto"/>
        <w:right w:val="none" w:sz="0" w:space="0" w:color="auto"/>
      </w:divBdr>
    </w:div>
    <w:div w:id="1439181466">
      <w:marLeft w:val="0"/>
      <w:marRight w:val="0"/>
      <w:marTop w:val="0"/>
      <w:marBottom w:val="0"/>
      <w:divBdr>
        <w:top w:val="none" w:sz="0" w:space="0" w:color="auto"/>
        <w:left w:val="none" w:sz="0" w:space="0" w:color="auto"/>
        <w:bottom w:val="none" w:sz="0" w:space="0" w:color="auto"/>
        <w:right w:val="none" w:sz="0" w:space="0" w:color="auto"/>
      </w:divBdr>
    </w:div>
    <w:div w:id="1439181467">
      <w:marLeft w:val="0"/>
      <w:marRight w:val="0"/>
      <w:marTop w:val="0"/>
      <w:marBottom w:val="0"/>
      <w:divBdr>
        <w:top w:val="none" w:sz="0" w:space="0" w:color="auto"/>
        <w:left w:val="none" w:sz="0" w:space="0" w:color="auto"/>
        <w:bottom w:val="none" w:sz="0" w:space="0" w:color="auto"/>
        <w:right w:val="none" w:sz="0" w:space="0" w:color="auto"/>
      </w:divBdr>
    </w:div>
    <w:div w:id="1439181468">
      <w:marLeft w:val="0"/>
      <w:marRight w:val="0"/>
      <w:marTop w:val="0"/>
      <w:marBottom w:val="0"/>
      <w:divBdr>
        <w:top w:val="none" w:sz="0" w:space="0" w:color="auto"/>
        <w:left w:val="none" w:sz="0" w:space="0" w:color="auto"/>
        <w:bottom w:val="none" w:sz="0" w:space="0" w:color="auto"/>
        <w:right w:val="none" w:sz="0" w:space="0" w:color="auto"/>
      </w:divBdr>
    </w:div>
    <w:div w:id="1439181471">
      <w:marLeft w:val="0"/>
      <w:marRight w:val="0"/>
      <w:marTop w:val="0"/>
      <w:marBottom w:val="0"/>
      <w:divBdr>
        <w:top w:val="none" w:sz="0" w:space="0" w:color="auto"/>
        <w:left w:val="none" w:sz="0" w:space="0" w:color="auto"/>
        <w:bottom w:val="none" w:sz="0" w:space="0" w:color="auto"/>
        <w:right w:val="none" w:sz="0" w:space="0" w:color="auto"/>
      </w:divBdr>
    </w:div>
    <w:div w:id="1439181472">
      <w:marLeft w:val="0"/>
      <w:marRight w:val="0"/>
      <w:marTop w:val="0"/>
      <w:marBottom w:val="0"/>
      <w:divBdr>
        <w:top w:val="none" w:sz="0" w:space="0" w:color="auto"/>
        <w:left w:val="none" w:sz="0" w:space="0" w:color="auto"/>
        <w:bottom w:val="none" w:sz="0" w:space="0" w:color="auto"/>
        <w:right w:val="none" w:sz="0" w:space="0" w:color="auto"/>
      </w:divBdr>
    </w:div>
    <w:div w:id="1439181473">
      <w:marLeft w:val="0"/>
      <w:marRight w:val="0"/>
      <w:marTop w:val="0"/>
      <w:marBottom w:val="0"/>
      <w:divBdr>
        <w:top w:val="none" w:sz="0" w:space="0" w:color="auto"/>
        <w:left w:val="none" w:sz="0" w:space="0" w:color="auto"/>
        <w:bottom w:val="none" w:sz="0" w:space="0" w:color="auto"/>
        <w:right w:val="none" w:sz="0" w:space="0" w:color="auto"/>
      </w:divBdr>
    </w:div>
    <w:div w:id="1439181474">
      <w:marLeft w:val="0"/>
      <w:marRight w:val="0"/>
      <w:marTop w:val="0"/>
      <w:marBottom w:val="0"/>
      <w:divBdr>
        <w:top w:val="none" w:sz="0" w:space="0" w:color="auto"/>
        <w:left w:val="none" w:sz="0" w:space="0" w:color="auto"/>
        <w:bottom w:val="none" w:sz="0" w:space="0" w:color="auto"/>
        <w:right w:val="none" w:sz="0" w:space="0" w:color="auto"/>
      </w:divBdr>
    </w:div>
    <w:div w:id="1439181476">
      <w:marLeft w:val="0"/>
      <w:marRight w:val="0"/>
      <w:marTop w:val="0"/>
      <w:marBottom w:val="0"/>
      <w:divBdr>
        <w:top w:val="none" w:sz="0" w:space="0" w:color="auto"/>
        <w:left w:val="none" w:sz="0" w:space="0" w:color="auto"/>
        <w:bottom w:val="none" w:sz="0" w:space="0" w:color="auto"/>
        <w:right w:val="none" w:sz="0" w:space="0" w:color="auto"/>
      </w:divBdr>
    </w:div>
    <w:div w:id="1439181477">
      <w:marLeft w:val="0"/>
      <w:marRight w:val="0"/>
      <w:marTop w:val="0"/>
      <w:marBottom w:val="0"/>
      <w:divBdr>
        <w:top w:val="none" w:sz="0" w:space="0" w:color="auto"/>
        <w:left w:val="none" w:sz="0" w:space="0" w:color="auto"/>
        <w:bottom w:val="none" w:sz="0" w:space="0" w:color="auto"/>
        <w:right w:val="none" w:sz="0" w:space="0" w:color="auto"/>
      </w:divBdr>
    </w:div>
    <w:div w:id="1439181481">
      <w:marLeft w:val="0"/>
      <w:marRight w:val="0"/>
      <w:marTop w:val="0"/>
      <w:marBottom w:val="0"/>
      <w:divBdr>
        <w:top w:val="none" w:sz="0" w:space="0" w:color="auto"/>
        <w:left w:val="none" w:sz="0" w:space="0" w:color="auto"/>
        <w:bottom w:val="none" w:sz="0" w:space="0" w:color="auto"/>
        <w:right w:val="none" w:sz="0" w:space="0" w:color="auto"/>
      </w:divBdr>
    </w:div>
    <w:div w:id="1439181484">
      <w:marLeft w:val="0"/>
      <w:marRight w:val="0"/>
      <w:marTop w:val="0"/>
      <w:marBottom w:val="0"/>
      <w:divBdr>
        <w:top w:val="none" w:sz="0" w:space="0" w:color="auto"/>
        <w:left w:val="none" w:sz="0" w:space="0" w:color="auto"/>
        <w:bottom w:val="none" w:sz="0" w:space="0" w:color="auto"/>
        <w:right w:val="none" w:sz="0" w:space="0" w:color="auto"/>
      </w:divBdr>
    </w:div>
    <w:div w:id="1439181485">
      <w:marLeft w:val="0"/>
      <w:marRight w:val="0"/>
      <w:marTop w:val="0"/>
      <w:marBottom w:val="0"/>
      <w:divBdr>
        <w:top w:val="none" w:sz="0" w:space="0" w:color="auto"/>
        <w:left w:val="none" w:sz="0" w:space="0" w:color="auto"/>
        <w:bottom w:val="none" w:sz="0" w:space="0" w:color="auto"/>
        <w:right w:val="none" w:sz="0" w:space="0" w:color="auto"/>
      </w:divBdr>
    </w:div>
    <w:div w:id="1439181487">
      <w:marLeft w:val="0"/>
      <w:marRight w:val="0"/>
      <w:marTop w:val="0"/>
      <w:marBottom w:val="0"/>
      <w:divBdr>
        <w:top w:val="none" w:sz="0" w:space="0" w:color="auto"/>
        <w:left w:val="none" w:sz="0" w:space="0" w:color="auto"/>
        <w:bottom w:val="none" w:sz="0" w:space="0" w:color="auto"/>
        <w:right w:val="none" w:sz="0" w:space="0" w:color="auto"/>
      </w:divBdr>
      <w:divsChild>
        <w:div w:id="1439181482">
          <w:marLeft w:val="0"/>
          <w:marRight w:val="0"/>
          <w:marTop w:val="0"/>
          <w:marBottom w:val="0"/>
          <w:divBdr>
            <w:top w:val="single" w:sz="6" w:space="0" w:color="072C6F"/>
            <w:left w:val="single" w:sz="6" w:space="0" w:color="072C6F"/>
            <w:bottom w:val="single" w:sz="6" w:space="8" w:color="072C6F"/>
            <w:right w:val="single" w:sz="6" w:space="0" w:color="072C6F"/>
          </w:divBdr>
          <w:divsChild>
            <w:div w:id="1439181486">
              <w:marLeft w:val="0"/>
              <w:marRight w:val="0"/>
              <w:marTop w:val="0"/>
              <w:marBottom w:val="0"/>
              <w:divBdr>
                <w:top w:val="none" w:sz="0" w:space="0" w:color="auto"/>
                <w:left w:val="none" w:sz="0" w:space="0" w:color="auto"/>
                <w:bottom w:val="none" w:sz="0" w:space="0" w:color="auto"/>
                <w:right w:val="none" w:sz="0" w:space="0" w:color="auto"/>
              </w:divBdr>
              <w:divsChild>
                <w:div w:id="14391815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39181488">
      <w:marLeft w:val="0"/>
      <w:marRight w:val="0"/>
      <w:marTop w:val="0"/>
      <w:marBottom w:val="0"/>
      <w:divBdr>
        <w:top w:val="none" w:sz="0" w:space="0" w:color="auto"/>
        <w:left w:val="none" w:sz="0" w:space="0" w:color="auto"/>
        <w:bottom w:val="none" w:sz="0" w:space="0" w:color="auto"/>
        <w:right w:val="none" w:sz="0" w:space="0" w:color="auto"/>
      </w:divBdr>
    </w:div>
    <w:div w:id="1439181490">
      <w:marLeft w:val="0"/>
      <w:marRight w:val="0"/>
      <w:marTop w:val="0"/>
      <w:marBottom w:val="0"/>
      <w:divBdr>
        <w:top w:val="none" w:sz="0" w:space="0" w:color="auto"/>
        <w:left w:val="none" w:sz="0" w:space="0" w:color="auto"/>
        <w:bottom w:val="none" w:sz="0" w:space="0" w:color="auto"/>
        <w:right w:val="none" w:sz="0" w:space="0" w:color="auto"/>
      </w:divBdr>
    </w:div>
    <w:div w:id="1439181491">
      <w:marLeft w:val="0"/>
      <w:marRight w:val="0"/>
      <w:marTop w:val="0"/>
      <w:marBottom w:val="0"/>
      <w:divBdr>
        <w:top w:val="none" w:sz="0" w:space="0" w:color="auto"/>
        <w:left w:val="none" w:sz="0" w:space="0" w:color="auto"/>
        <w:bottom w:val="none" w:sz="0" w:space="0" w:color="auto"/>
        <w:right w:val="none" w:sz="0" w:space="0" w:color="auto"/>
      </w:divBdr>
    </w:div>
    <w:div w:id="1439181492">
      <w:marLeft w:val="0"/>
      <w:marRight w:val="0"/>
      <w:marTop w:val="0"/>
      <w:marBottom w:val="0"/>
      <w:divBdr>
        <w:top w:val="none" w:sz="0" w:space="0" w:color="auto"/>
        <w:left w:val="none" w:sz="0" w:space="0" w:color="auto"/>
        <w:bottom w:val="none" w:sz="0" w:space="0" w:color="auto"/>
        <w:right w:val="none" w:sz="0" w:space="0" w:color="auto"/>
      </w:divBdr>
    </w:div>
    <w:div w:id="1439181493">
      <w:marLeft w:val="0"/>
      <w:marRight w:val="0"/>
      <w:marTop w:val="0"/>
      <w:marBottom w:val="0"/>
      <w:divBdr>
        <w:top w:val="none" w:sz="0" w:space="0" w:color="auto"/>
        <w:left w:val="none" w:sz="0" w:space="0" w:color="auto"/>
        <w:bottom w:val="none" w:sz="0" w:space="0" w:color="auto"/>
        <w:right w:val="none" w:sz="0" w:space="0" w:color="auto"/>
      </w:divBdr>
    </w:div>
    <w:div w:id="1439181494">
      <w:marLeft w:val="0"/>
      <w:marRight w:val="0"/>
      <w:marTop w:val="0"/>
      <w:marBottom w:val="0"/>
      <w:divBdr>
        <w:top w:val="none" w:sz="0" w:space="0" w:color="auto"/>
        <w:left w:val="none" w:sz="0" w:space="0" w:color="auto"/>
        <w:bottom w:val="none" w:sz="0" w:space="0" w:color="auto"/>
        <w:right w:val="none" w:sz="0" w:space="0" w:color="auto"/>
      </w:divBdr>
    </w:div>
    <w:div w:id="1439181496">
      <w:marLeft w:val="0"/>
      <w:marRight w:val="0"/>
      <w:marTop w:val="0"/>
      <w:marBottom w:val="0"/>
      <w:divBdr>
        <w:top w:val="none" w:sz="0" w:space="0" w:color="auto"/>
        <w:left w:val="none" w:sz="0" w:space="0" w:color="auto"/>
        <w:bottom w:val="none" w:sz="0" w:space="0" w:color="auto"/>
        <w:right w:val="none" w:sz="0" w:space="0" w:color="auto"/>
      </w:divBdr>
      <w:divsChild>
        <w:div w:id="1439181470">
          <w:marLeft w:val="0"/>
          <w:marRight w:val="0"/>
          <w:marTop w:val="0"/>
          <w:marBottom w:val="0"/>
          <w:divBdr>
            <w:top w:val="none" w:sz="0" w:space="0" w:color="auto"/>
            <w:left w:val="none" w:sz="0" w:space="0" w:color="auto"/>
            <w:bottom w:val="none" w:sz="0" w:space="0" w:color="auto"/>
            <w:right w:val="none" w:sz="0" w:space="0" w:color="auto"/>
          </w:divBdr>
          <w:divsChild>
            <w:div w:id="1439181498">
              <w:marLeft w:val="0"/>
              <w:marRight w:val="0"/>
              <w:marTop w:val="0"/>
              <w:marBottom w:val="0"/>
              <w:divBdr>
                <w:top w:val="none" w:sz="0" w:space="0" w:color="auto"/>
                <w:left w:val="none" w:sz="0" w:space="0" w:color="auto"/>
                <w:bottom w:val="none" w:sz="0" w:space="0" w:color="auto"/>
                <w:right w:val="none" w:sz="0" w:space="0" w:color="auto"/>
              </w:divBdr>
              <w:divsChild>
                <w:div w:id="1439181479">
                  <w:marLeft w:val="0"/>
                  <w:marRight w:val="0"/>
                  <w:marTop w:val="0"/>
                  <w:marBottom w:val="0"/>
                  <w:divBdr>
                    <w:top w:val="none" w:sz="0" w:space="0" w:color="auto"/>
                    <w:left w:val="none" w:sz="0" w:space="0" w:color="auto"/>
                    <w:bottom w:val="none" w:sz="0" w:space="0" w:color="auto"/>
                    <w:right w:val="none" w:sz="0" w:space="0" w:color="auto"/>
                  </w:divBdr>
                  <w:divsChild>
                    <w:div w:id="14391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81497">
      <w:marLeft w:val="0"/>
      <w:marRight w:val="0"/>
      <w:marTop w:val="0"/>
      <w:marBottom w:val="0"/>
      <w:divBdr>
        <w:top w:val="none" w:sz="0" w:space="0" w:color="auto"/>
        <w:left w:val="none" w:sz="0" w:space="0" w:color="auto"/>
        <w:bottom w:val="none" w:sz="0" w:space="0" w:color="auto"/>
        <w:right w:val="none" w:sz="0" w:space="0" w:color="auto"/>
      </w:divBdr>
    </w:div>
    <w:div w:id="1439181499">
      <w:marLeft w:val="0"/>
      <w:marRight w:val="0"/>
      <w:marTop w:val="0"/>
      <w:marBottom w:val="0"/>
      <w:divBdr>
        <w:top w:val="none" w:sz="0" w:space="0" w:color="auto"/>
        <w:left w:val="none" w:sz="0" w:space="0" w:color="auto"/>
        <w:bottom w:val="none" w:sz="0" w:space="0" w:color="auto"/>
        <w:right w:val="none" w:sz="0" w:space="0" w:color="auto"/>
      </w:divBdr>
    </w:div>
    <w:div w:id="1439181500">
      <w:marLeft w:val="0"/>
      <w:marRight w:val="0"/>
      <w:marTop w:val="0"/>
      <w:marBottom w:val="0"/>
      <w:divBdr>
        <w:top w:val="none" w:sz="0" w:space="0" w:color="auto"/>
        <w:left w:val="none" w:sz="0" w:space="0" w:color="auto"/>
        <w:bottom w:val="none" w:sz="0" w:space="0" w:color="auto"/>
        <w:right w:val="none" w:sz="0" w:space="0" w:color="auto"/>
      </w:divBdr>
    </w:div>
    <w:div w:id="1439181502">
      <w:marLeft w:val="0"/>
      <w:marRight w:val="0"/>
      <w:marTop w:val="0"/>
      <w:marBottom w:val="0"/>
      <w:divBdr>
        <w:top w:val="none" w:sz="0" w:space="0" w:color="auto"/>
        <w:left w:val="none" w:sz="0" w:space="0" w:color="auto"/>
        <w:bottom w:val="none" w:sz="0" w:space="0" w:color="auto"/>
        <w:right w:val="none" w:sz="0" w:space="0" w:color="auto"/>
      </w:divBdr>
      <w:divsChild>
        <w:div w:id="1439181508">
          <w:marLeft w:val="0"/>
          <w:marRight w:val="0"/>
          <w:marTop w:val="0"/>
          <w:marBottom w:val="0"/>
          <w:divBdr>
            <w:top w:val="none" w:sz="0" w:space="0" w:color="auto"/>
            <w:left w:val="none" w:sz="0" w:space="0" w:color="auto"/>
            <w:bottom w:val="none" w:sz="0" w:space="0" w:color="auto"/>
            <w:right w:val="none" w:sz="0" w:space="0" w:color="auto"/>
          </w:divBdr>
          <w:divsChild>
            <w:div w:id="1439181505">
              <w:marLeft w:val="0"/>
              <w:marRight w:val="0"/>
              <w:marTop w:val="0"/>
              <w:marBottom w:val="0"/>
              <w:divBdr>
                <w:top w:val="none" w:sz="0" w:space="0" w:color="auto"/>
                <w:left w:val="none" w:sz="0" w:space="0" w:color="auto"/>
                <w:bottom w:val="none" w:sz="0" w:space="0" w:color="auto"/>
                <w:right w:val="none" w:sz="0" w:space="0" w:color="auto"/>
              </w:divBdr>
              <w:divsChild>
                <w:div w:id="1439181462">
                  <w:marLeft w:val="-195"/>
                  <w:marRight w:val="0"/>
                  <w:marTop w:val="0"/>
                  <w:marBottom w:val="0"/>
                  <w:divBdr>
                    <w:top w:val="none" w:sz="0" w:space="0" w:color="auto"/>
                    <w:left w:val="none" w:sz="0" w:space="0" w:color="auto"/>
                    <w:bottom w:val="none" w:sz="0" w:space="0" w:color="auto"/>
                    <w:right w:val="none" w:sz="0" w:space="0" w:color="auto"/>
                  </w:divBdr>
                  <w:divsChild>
                    <w:div w:id="1439181495">
                      <w:marLeft w:val="0"/>
                      <w:marRight w:val="0"/>
                      <w:marTop w:val="255"/>
                      <w:marBottom w:val="0"/>
                      <w:divBdr>
                        <w:top w:val="none" w:sz="0" w:space="0" w:color="auto"/>
                        <w:left w:val="none" w:sz="0" w:space="0" w:color="auto"/>
                        <w:bottom w:val="none" w:sz="0" w:space="0" w:color="auto"/>
                        <w:right w:val="none" w:sz="0" w:space="0" w:color="auto"/>
                      </w:divBdr>
                      <w:divsChild>
                        <w:div w:id="1439181483">
                          <w:marLeft w:val="0"/>
                          <w:marRight w:val="0"/>
                          <w:marTop w:val="255"/>
                          <w:marBottom w:val="0"/>
                          <w:divBdr>
                            <w:top w:val="none" w:sz="0" w:space="0" w:color="auto"/>
                            <w:left w:val="none" w:sz="0" w:space="0" w:color="auto"/>
                            <w:bottom w:val="none" w:sz="0" w:space="0" w:color="auto"/>
                            <w:right w:val="none" w:sz="0" w:space="0" w:color="auto"/>
                          </w:divBdr>
                          <w:divsChild>
                            <w:div w:id="1439181480">
                              <w:marLeft w:val="0"/>
                              <w:marRight w:val="0"/>
                              <w:marTop w:val="0"/>
                              <w:marBottom w:val="0"/>
                              <w:divBdr>
                                <w:top w:val="none" w:sz="0" w:space="0" w:color="auto"/>
                                <w:left w:val="none" w:sz="0" w:space="0" w:color="auto"/>
                                <w:bottom w:val="none" w:sz="0" w:space="0" w:color="auto"/>
                                <w:right w:val="none" w:sz="0" w:space="0" w:color="auto"/>
                              </w:divBdr>
                              <w:divsChild>
                                <w:div w:id="1439181489">
                                  <w:marLeft w:val="0"/>
                                  <w:marRight w:val="0"/>
                                  <w:marTop w:val="0"/>
                                  <w:marBottom w:val="0"/>
                                  <w:divBdr>
                                    <w:top w:val="none" w:sz="0" w:space="0" w:color="auto"/>
                                    <w:left w:val="none" w:sz="0" w:space="0" w:color="auto"/>
                                    <w:bottom w:val="none" w:sz="0" w:space="0" w:color="auto"/>
                                    <w:right w:val="none" w:sz="0" w:space="0" w:color="auto"/>
                                  </w:divBdr>
                                  <w:divsChild>
                                    <w:div w:id="14391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181503">
      <w:marLeft w:val="0"/>
      <w:marRight w:val="0"/>
      <w:marTop w:val="0"/>
      <w:marBottom w:val="0"/>
      <w:divBdr>
        <w:top w:val="none" w:sz="0" w:space="0" w:color="auto"/>
        <w:left w:val="none" w:sz="0" w:space="0" w:color="auto"/>
        <w:bottom w:val="none" w:sz="0" w:space="0" w:color="auto"/>
        <w:right w:val="none" w:sz="0" w:space="0" w:color="auto"/>
      </w:divBdr>
      <w:divsChild>
        <w:div w:id="1439181516">
          <w:marLeft w:val="0"/>
          <w:marRight w:val="0"/>
          <w:marTop w:val="0"/>
          <w:marBottom w:val="0"/>
          <w:divBdr>
            <w:top w:val="single" w:sz="6" w:space="0" w:color="072C6F"/>
            <w:left w:val="single" w:sz="6" w:space="0" w:color="072C6F"/>
            <w:bottom w:val="single" w:sz="6" w:space="8" w:color="072C6F"/>
            <w:right w:val="single" w:sz="6" w:space="0" w:color="072C6F"/>
          </w:divBdr>
          <w:divsChild>
            <w:div w:id="1439181463">
              <w:marLeft w:val="0"/>
              <w:marRight w:val="0"/>
              <w:marTop w:val="0"/>
              <w:marBottom w:val="0"/>
              <w:divBdr>
                <w:top w:val="none" w:sz="0" w:space="0" w:color="auto"/>
                <w:left w:val="none" w:sz="0" w:space="0" w:color="auto"/>
                <w:bottom w:val="none" w:sz="0" w:space="0" w:color="auto"/>
                <w:right w:val="none" w:sz="0" w:space="0" w:color="auto"/>
              </w:divBdr>
              <w:divsChild>
                <w:div w:id="14391814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39181504">
      <w:marLeft w:val="0"/>
      <w:marRight w:val="0"/>
      <w:marTop w:val="0"/>
      <w:marBottom w:val="0"/>
      <w:divBdr>
        <w:top w:val="none" w:sz="0" w:space="0" w:color="auto"/>
        <w:left w:val="none" w:sz="0" w:space="0" w:color="auto"/>
        <w:bottom w:val="none" w:sz="0" w:space="0" w:color="auto"/>
        <w:right w:val="none" w:sz="0" w:space="0" w:color="auto"/>
      </w:divBdr>
    </w:div>
    <w:div w:id="1439181506">
      <w:marLeft w:val="0"/>
      <w:marRight w:val="0"/>
      <w:marTop w:val="0"/>
      <w:marBottom w:val="0"/>
      <w:divBdr>
        <w:top w:val="none" w:sz="0" w:space="0" w:color="auto"/>
        <w:left w:val="none" w:sz="0" w:space="0" w:color="auto"/>
        <w:bottom w:val="none" w:sz="0" w:space="0" w:color="auto"/>
        <w:right w:val="none" w:sz="0" w:space="0" w:color="auto"/>
      </w:divBdr>
    </w:div>
    <w:div w:id="1439181507">
      <w:marLeft w:val="0"/>
      <w:marRight w:val="0"/>
      <w:marTop w:val="0"/>
      <w:marBottom w:val="0"/>
      <w:divBdr>
        <w:top w:val="none" w:sz="0" w:space="0" w:color="auto"/>
        <w:left w:val="none" w:sz="0" w:space="0" w:color="auto"/>
        <w:bottom w:val="none" w:sz="0" w:space="0" w:color="auto"/>
        <w:right w:val="none" w:sz="0" w:space="0" w:color="auto"/>
      </w:divBdr>
    </w:div>
    <w:div w:id="1439181509">
      <w:marLeft w:val="0"/>
      <w:marRight w:val="0"/>
      <w:marTop w:val="0"/>
      <w:marBottom w:val="0"/>
      <w:divBdr>
        <w:top w:val="none" w:sz="0" w:space="0" w:color="auto"/>
        <w:left w:val="none" w:sz="0" w:space="0" w:color="auto"/>
        <w:bottom w:val="none" w:sz="0" w:space="0" w:color="auto"/>
        <w:right w:val="none" w:sz="0" w:space="0" w:color="auto"/>
      </w:divBdr>
    </w:div>
    <w:div w:id="1439181510">
      <w:marLeft w:val="0"/>
      <w:marRight w:val="0"/>
      <w:marTop w:val="0"/>
      <w:marBottom w:val="0"/>
      <w:divBdr>
        <w:top w:val="none" w:sz="0" w:space="0" w:color="auto"/>
        <w:left w:val="none" w:sz="0" w:space="0" w:color="auto"/>
        <w:bottom w:val="none" w:sz="0" w:space="0" w:color="auto"/>
        <w:right w:val="none" w:sz="0" w:space="0" w:color="auto"/>
      </w:divBdr>
    </w:div>
    <w:div w:id="1439181511">
      <w:marLeft w:val="0"/>
      <w:marRight w:val="0"/>
      <w:marTop w:val="0"/>
      <w:marBottom w:val="0"/>
      <w:divBdr>
        <w:top w:val="none" w:sz="0" w:space="0" w:color="auto"/>
        <w:left w:val="none" w:sz="0" w:space="0" w:color="auto"/>
        <w:bottom w:val="none" w:sz="0" w:space="0" w:color="auto"/>
        <w:right w:val="none" w:sz="0" w:space="0" w:color="auto"/>
      </w:divBdr>
    </w:div>
    <w:div w:id="1439181512">
      <w:marLeft w:val="0"/>
      <w:marRight w:val="0"/>
      <w:marTop w:val="0"/>
      <w:marBottom w:val="0"/>
      <w:divBdr>
        <w:top w:val="none" w:sz="0" w:space="0" w:color="auto"/>
        <w:left w:val="none" w:sz="0" w:space="0" w:color="auto"/>
        <w:bottom w:val="none" w:sz="0" w:space="0" w:color="auto"/>
        <w:right w:val="none" w:sz="0" w:space="0" w:color="auto"/>
      </w:divBdr>
    </w:div>
    <w:div w:id="1439181513">
      <w:marLeft w:val="0"/>
      <w:marRight w:val="0"/>
      <w:marTop w:val="0"/>
      <w:marBottom w:val="0"/>
      <w:divBdr>
        <w:top w:val="none" w:sz="0" w:space="0" w:color="auto"/>
        <w:left w:val="none" w:sz="0" w:space="0" w:color="auto"/>
        <w:bottom w:val="none" w:sz="0" w:space="0" w:color="auto"/>
        <w:right w:val="none" w:sz="0" w:space="0" w:color="auto"/>
      </w:divBdr>
    </w:div>
    <w:div w:id="1439181514">
      <w:marLeft w:val="0"/>
      <w:marRight w:val="0"/>
      <w:marTop w:val="0"/>
      <w:marBottom w:val="0"/>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439181519">
      <w:marLeft w:val="0"/>
      <w:marRight w:val="0"/>
      <w:marTop w:val="0"/>
      <w:marBottom w:val="0"/>
      <w:divBdr>
        <w:top w:val="none" w:sz="0" w:space="0" w:color="auto"/>
        <w:left w:val="none" w:sz="0" w:space="0" w:color="auto"/>
        <w:bottom w:val="none" w:sz="0" w:space="0" w:color="auto"/>
        <w:right w:val="none" w:sz="0" w:space="0" w:color="auto"/>
      </w:divBdr>
      <w:divsChild>
        <w:div w:id="1439181517">
          <w:marLeft w:val="0"/>
          <w:marRight w:val="0"/>
          <w:marTop w:val="0"/>
          <w:marBottom w:val="0"/>
          <w:divBdr>
            <w:top w:val="none" w:sz="0" w:space="0" w:color="auto"/>
            <w:left w:val="none" w:sz="0" w:space="0" w:color="auto"/>
            <w:bottom w:val="none" w:sz="0" w:space="0" w:color="auto"/>
            <w:right w:val="none" w:sz="0" w:space="0" w:color="auto"/>
          </w:divBdr>
        </w:div>
        <w:div w:id="1439181518">
          <w:marLeft w:val="0"/>
          <w:marRight w:val="0"/>
          <w:marTop w:val="0"/>
          <w:marBottom w:val="0"/>
          <w:divBdr>
            <w:top w:val="none" w:sz="0" w:space="0" w:color="auto"/>
            <w:left w:val="none" w:sz="0" w:space="0" w:color="auto"/>
            <w:bottom w:val="none" w:sz="0" w:space="0" w:color="auto"/>
            <w:right w:val="none" w:sz="0" w:space="0" w:color="auto"/>
          </w:divBdr>
        </w:div>
        <w:div w:id="1439181520">
          <w:marLeft w:val="0"/>
          <w:marRight w:val="0"/>
          <w:marTop w:val="0"/>
          <w:marBottom w:val="0"/>
          <w:divBdr>
            <w:top w:val="none" w:sz="0" w:space="0" w:color="auto"/>
            <w:left w:val="none" w:sz="0" w:space="0" w:color="auto"/>
            <w:bottom w:val="none" w:sz="0" w:space="0" w:color="auto"/>
            <w:right w:val="none" w:sz="0" w:space="0" w:color="auto"/>
          </w:divBdr>
        </w:div>
        <w:div w:id="1439181521">
          <w:marLeft w:val="0"/>
          <w:marRight w:val="0"/>
          <w:marTop w:val="0"/>
          <w:marBottom w:val="0"/>
          <w:divBdr>
            <w:top w:val="none" w:sz="0" w:space="0" w:color="auto"/>
            <w:left w:val="none" w:sz="0" w:space="0" w:color="auto"/>
            <w:bottom w:val="none" w:sz="0" w:space="0" w:color="auto"/>
            <w:right w:val="none" w:sz="0" w:space="0" w:color="auto"/>
          </w:divBdr>
        </w:div>
        <w:div w:id="1439181522">
          <w:marLeft w:val="0"/>
          <w:marRight w:val="0"/>
          <w:marTop w:val="0"/>
          <w:marBottom w:val="0"/>
          <w:divBdr>
            <w:top w:val="none" w:sz="0" w:space="0" w:color="auto"/>
            <w:left w:val="none" w:sz="0" w:space="0" w:color="auto"/>
            <w:bottom w:val="none" w:sz="0" w:space="0" w:color="auto"/>
            <w:right w:val="none" w:sz="0" w:space="0" w:color="auto"/>
          </w:divBdr>
        </w:div>
      </w:divsChild>
    </w:div>
    <w:div w:id="14391815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uropa.eu" TargetMode="Externa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uropa.eu" TargetMode="External"/><Relationship Id="rId14" Type="http://schemas.openxmlformats.org/officeDocument/2006/relationships/footer" Target="footer4.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portal.cor.europa.eu/subsidiarity/SiteCollectionDocuments/GridFinalB_EN.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ul\Dropbox\editing\Offerta%20tecnica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rWebTheme_0 xmlns="http://schemas.microsoft.com/sharepoint/v3/fields">
      <Terms xmlns="http://schemas.microsoft.com/office/infopath/2007/PartnerControls"/>
    </CorWebTheme_0>
    <PublishingRollupImage xmlns="http://schemas.microsoft.com/sharepoint/v3" xsi:nil="true"/>
    <CorWebKeywords_0 xmlns="http://schemas.microsoft.com/sharepoint/v3/fields">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9e2a7271-b294-480b-a81c-34d7a2bd92c4</TermId>
        </TermInfo>
      </Terms>
    </CorWebKeywords_0>
    <PublishingContactEmail xmlns="http://schemas.microsoft.com/sharepoint/v3" xsi:nil="true"/>
    <ArticleStartDate xmlns="http://schemas.microsoft.com/sharepoint/v3" xsi:nil="true"/>
    <URL xmlns="http://schemas.microsoft.com/sharepoint/v3">
      <Url xsi:nil="true"/>
      <Description xsi:nil="true"/>
    </URL>
    <Audience xmlns="http://schemas.microsoft.com/sharepoint/v3" xsi:nil="true"/>
    <CorWebAbstract xmlns="http://schemas.microsoft.com/sharepoint/v3/fields" xsi:nil="true"/>
    <PublishingContactPicture xmlns="http://schemas.microsoft.com/sharepoint/v3">
      <Url xsi:nil="true"/>
      <Description xsi:nil="true"/>
    </PublishingContactPicture>
    <StartDate xmlns="http://schemas.microsoft.com/sharepoint/v3">2012-02-06T23:00:00+00:00</StartDate>
    <CorWebInkaReference xmlns="http://schemas.microsoft.com/sharepoint/v3/fields" xsi:nil="true"/>
    <PublishingContact xmlns="http://schemas.microsoft.com/sharepoint/v3">
      <UserInfo>
        <DisplayName/>
        <AccountId xsi:nil="true"/>
        <AccountType/>
      </UserInfo>
    </PublishingContact>
    <PublishingContactName xmlns="http://schemas.microsoft.com/sharepoint/v3" xsi:nil="true"/>
    <CorWebHomepage xmlns="http://schemas.microsoft.com/sharepoint/v3/fields">false</CorWebHomepage>
    <CorWebLanguage_0 xmlns="http://schemas.microsoft.com/sharepoint/v3/fields">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5d808a89-daf8-4cf5-a324-d79ff5c66bdd</TermId>
        </TermInfo>
      </Terms>
    </CorWebLanguage_0>
    <CorWebNumber xmlns="http://schemas.microsoft.com/sharepoint/v3/fields" xsi:nil="true"/>
    <Comments xmlns="http://schemas.microsoft.com/sharepoint/v3" xsi:nil="true"/>
    <Comment xmlns="http://schemas.microsoft.com/sharepoint/v3" xsi:nil="true"/>
    <CorWebSource xmlns="http://schemas.microsoft.com/sharepoint/v3/fields" xsi:nil="true"/>
    <EndDate xmlns="http://schemas.microsoft.com/sharepoint/v3/fields">2012-02-06T23:00:00+00:00</EndDate>
    <TaxCatchAll xmlns="181929d2-5c93-407e-a9a3-a3f675aae924">
      <Value>105</Value>
      <Value>104</Value>
    </TaxCatchAll>
    <CorWebDocumentType_0 xmlns="http://schemas.microsoft.com/sharepoint/v3/fields">
      <Terms xmlns="http://schemas.microsoft.com/office/infopath/2007/PartnerControls"/>
    </CorWebDocumentType_0>
    <CorWebAuthor xmlns="http://schemas.microsoft.com/sharepoint/v3/fields" xsi:nil="true"/>
    <CorWebNbrOfPages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rWeb Document" ma:contentTypeID="0x0101001C1CB03CB74147F893AE75230A56A05B003E2F6ABCD9C84B42B8E711B7D4276FDE" ma:contentTypeVersion="63" ma:contentTypeDescription="CorWeb Document" ma:contentTypeScope="" ma:versionID="cd1b91af6514c2f7b963586328bcb2c1">
  <xsd:schema xmlns:xsd="http://www.w3.org/2001/XMLSchema" xmlns:xs="http://www.w3.org/2001/XMLSchema" xmlns:p="http://schemas.microsoft.com/office/2006/metadata/properties" xmlns:ns1="http://schemas.microsoft.com/sharepoint/v3" xmlns:ns2="http://schemas.microsoft.com/sharepoint/v3/fields" xmlns:ns3="181929d2-5c93-407e-a9a3-a3f675aae924" targetNamespace="http://schemas.microsoft.com/office/2006/metadata/properties" ma:root="true" ma:fieldsID="de02c2ebda204553501c457f0643efc8" ns1:_="" ns2:_="" ns3:_="">
    <xsd:import namespace="http://schemas.microsoft.com/sharepoint/v3"/>
    <xsd:import namespace="http://schemas.microsoft.com/sharepoint/v3/fields"/>
    <xsd:import namespace="181929d2-5c93-407e-a9a3-a3f675aae924"/>
    <xsd:element name="properties">
      <xsd:complexType>
        <xsd:sequence>
          <xsd:element name="documentManagement">
            <xsd:complexType>
              <xsd:all>
                <xsd:element ref="ns1:Comments" minOccurs="0"/>
                <xsd:element ref="ns1:PublishingContact" minOccurs="0"/>
                <xsd:element ref="ns1:ArticleStartDate" minOccurs="0"/>
                <xsd:element ref="ns2:CorWebAbstract" minOccurs="0"/>
                <xsd:element ref="ns1:Comment" minOccurs="0"/>
                <xsd:element ref="ns2:CorWebHomepage" minOccurs="0"/>
                <xsd:element ref="ns2:CorWebNumber" minOccurs="0"/>
                <xsd:element ref="ns2:CorWebSource" minOccurs="0"/>
                <xsd:element ref="ns1:URL" minOccurs="0"/>
                <xsd:element ref="ns1:StartDate" minOccurs="0"/>
                <xsd:element ref="ns2:EndDate" minOccurs="0"/>
                <xsd:element ref="ns2:CorWebInkaReference" minOccurs="0"/>
                <xsd:element ref="ns3:TaxCatchAll" minOccurs="0"/>
                <xsd:element ref="ns3:TaxCatchAllLabel" minOccurs="0"/>
                <xsd:element ref="ns1:PublishingContactEmail" minOccurs="0"/>
                <xsd:element ref="ns1:PublishingContactName" minOccurs="0"/>
                <xsd:element ref="ns1:PublishingContactPicture" minOccurs="0"/>
                <xsd:element ref="ns1:PublishingRollupImage" minOccurs="0"/>
                <xsd:element ref="ns1:Audience" minOccurs="0"/>
                <xsd:element ref="ns2:CorWebNbrOfPages" minOccurs="0"/>
                <xsd:element ref="ns2:CorWebAuthor" minOccurs="0"/>
                <xsd:element ref="ns2:CorWebTheme_0" minOccurs="0"/>
                <xsd:element ref="ns2:CorWebLanguage_0" minOccurs="0"/>
                <xsd:element ref="ns2:CorWebKeywords_0" minOccurs="0"/>
                <xsd:element ref="ns2:CorWebDocumentType_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ma:readOnly="false">
      <xsd:simpleType>
        <xsd:restriction base="dms:Note">
          <xsd:maxLength value="255"/>
        </xsd:restriction>
      </xsd:simpleType>
    </xsd:element>
    <xsd:element name="PublishingContact" ma:index="9" nillable="true" ma:displayName="Contact Pers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StartDate" ma:index="10" nillable="true" ma:displayName="Date" ma:format="DateOnly" ma:internalName="ArticleStartDate" ma:readOnly="false">
      <xsd:simpleType>
        <xsd:restriction base="dms:DateTime"/>
      </xsd:simpleType>
    </xsd:element>
    <xsd:element name="Comment" ma:index="12" nillable="true" ma:displayName="Description" ma:internalName="Comment" ma:readOnly="false">
      <xsd:simpleType>
        <xsd:restriction base="dms:Note">
          <xsd:maxLength value="255"/>
        </xsd:restriction>
      </xsd:simpleType>
    </xsd:element>
    <xsd:element name="URL" ma:index="16"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tartDate" ma:index="17" nillable="true" ma:displayName="Start Date" ma:default="[today]" ma:format="DateOnly" ma:internalName="StartDate" ma:readOnly="false">
      <xsd:simpleType>
        <xsd:restriction base="dms:DateTime"/>
      </xsd:simpleType>
    </xsd:element>
    <xsd:element name="PublishingContactEmail" ma:index="22" nillable="true" ma:displayName="PublishingContactEmail" ma:internalName="PublishingContactEmail" ma:readOnly="false">
      <xsd:simpleType>
        <xsd:restriction base="dms:Text">
          <xsd:maxLength value="255"/>
        </xsd:restriction>
      </xsd:simpleType>
    </xsd:element>
    <xsd:element name="PublishingContactName" ma:index="23" nillable="true" ma:displayName="PublishingContactName" ma:internalName="PublishingContactName" ma:readOnly="false">
      <xsd:simpleType>
        <xsd:restriction base="dms:Text">
          <xsd:maxLength value="255"/>
        </xsd:restriction>
      </xsd:simpleType>
    </xsd:element>
    <xsd:element name="PublishingContactPicture" ma:index="24" nillable="true" ma:displayName="PublishingContactPicture" ma:format="Imag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25" nillable="true" ma:displayName="PublishingRollupImage" ma:internalName="PublishingRollupImage" ma:readOnly="false">
      <xsd:simpleType>
        <xsd:restriction base="dms:Unknown"/>
      </xsd:simpleType>
    </xsd:element>
    <xsd:element name="Audience" ma:index="26" nillable="true" ma:displayName="Audience"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rWebAbstract" ma:index="11" nillable="true" ma:displayName="Abstract" ma:internalName="CorWebAbstract" ma:readOnly="false">
      <xsd:simpleType>
        <xsd:restriction base="dms:Note"/>
      </xsd:simpleType>
    </xsd:element>
    <xsd:element name="CorWebHomepage" ma:index="13" nillable="true" ma:displayName="Homepage" ma:internalName="CorWebHomepage" ma:readOnly="false">
      <xsd:simpleType>
        <xsd:restriction base="dms:Boolean"/>
      </xsd:simpleType>
    </xsd:element>
    <xsd:element name="CorWebNumber" ma:index="14" nillable="true" ma:displayName="Nr" ma:internalName="CorWebNumber" ma:readOnly="false">
      <xsd:simpleType>
        <xsd:restriction base="dms:Text"/>
      </xsd:simpleType>
    </xsd:element>
    <xsd:element name="CorWebSource" ma:index="15" nillable="true" ma:displayName="Source" ma:internalName="CorWebSource" ma:readOnly="false">
      <xsd:simpleType>
        <xsd:restriction base="dms:Text"/>
      </xsd:simpleType>
    </xsd:element>
    <xsd:element name="EndDate" ma:index="18" nillable="true" ma:displayName="End Date" ma:default="[today]" ma:format="DateOnly" ma:internalName="EndDate" ma:readOnly="false">
      <xsd:simpleType>
        <xsd:restriction base="dms:DateTime"/>
      </xsd:simpleType>
    </xsd:element>
    <xsd:element name="CorWebInkaReference" ma:index="19" nillable="true" ma:displayName="INCA Reference" ma:internalName="CorWebInkaReference" ma:readOnly="false">
      <xsd:simpleType>
        <xsd:restriction base="dms:Text"/>
      </xsd:simpleType>
    </xsd:element>
    <xsd:element name="CorWebNbrOfPages" ma:index="27" nillable="true" ma:displayName="Nbr of Pages" ma:internalName="CorWebNbrOfPages" ma:readOnly="false">
      <xsd:simpleType>
        <xsd:restriction base="dms:Number">
          <xsd:maxInclusive value="9999"/>
          <xsd:minInclusive value="0"/>
        </xsd:restriction>
      </xsd:simpleType>
    </xsd:element>
    <xsd:element name="CorWebAuthor" ma:index="28" nillable="true" ma:displayName="Author" ma:internalName="CorWebAuthor" ma:readOnly="false">
      <xsd:simpleType>
        <xsd:restriction base="dms:Text"/>
      </xsd:simpleType>
    </xsd:element>
    <xsd:element name="CorWebTheme_0" ma:index="29" nillable="true" ma:taxonomy="true" ma:internalName="CorWebTheme_0" ma:taxonomyFieldName="CorWebTheme" ma:displayName="CorWebTheme" ma:readOnly="false" ma:default="" ma:fieldId="{a5446626-b6d3-42cf-9376-9b04e4359832}" ma:taxonomyMulti="true" ma:sspId="d1006d82-5974-43a7-860a-b70f03cb978a" ma:termSetId="fe06f5de-79c6-4e14-82a3-ebf3c05644fa" ma:anchorId="00000000-0000-0000-0000-000000000000" ma:open="false" ma:isKeyword="false">
      <xsd:complexType>
        <xsd:sequence>
          <xsd:element ref="pc:Terms" minOccurs="0" maxOccurs="1"/>
        </xsd:sequence>
      </xsd:complexType>
    </xsd:element>
    <xsd:element name="CorWebLanguage_0" ma:index="31" ma:taxonomy="true" ma:internalName="CorWebLanguage_0" ma:taxonomyFieldName="CorWebLanguage" ma:displayName="CorWebLanguage" ma:readOnly="false" ma:default="" ma:fieldId="{82ffa6ef-b3fd-4b05-b482-21e38acbad99}" ma:taxonomyMulti="true" ma:sspId="d1006d82-5974-43a7-860a-b70f03cb978a" ma:termSetId="6fa12516-3255-4bae-af71-c18e43339180" ma:anchorId="00000000-0000-0000-0000-000000000000" ma:open="false" ma:isKeyword="false">
      <xsd:complexType>
        <xsd:sequence>
          <xsd:element ref="pc:Terms" minOccurs="0" maxOccurs="1"/>
        </xsd:sequence>
      </xsd:complexType>
    </xsd:element>
    <xsd:element name="CorWebKeywords_0" ma:index="34" ma:taxonomy="true" ma:internalName="CorWebKeywords_0" ma:taxonomyFieldName="CorWebKeywords" ma:displayName="CorWebKeywords" ma:readOnly="false" ma:default="" ma:fieldId="{4788d12c-22f9-403d-85cb-3431692412ab}" ma:taxonomyMulti="true" ma:sspId="d1006d82-5974-43a7-860a-b70f03cb978a" ma:termSetId="c6ce89c5-ed1f-417c-a28c-3da7a5c20150" ma:anchorId="00000000-0000-0000-0000-000000000000" ma:open="false" ma:isKeyword="false">
      <xsd:complexType>
        <xsd:sequence>
          <xsd:element ref="pc:Terms" minOccurs="0" maxOccurs="1"/>
        </xsd:sequence>
      </xsd:complexType>
    </xsd:element>
    <xsd:element name="CorWebDocumentType_0" ma:index="35" nillable="true" ma:taxonomy="true" ma:internalName="CorWebDocumentType_0" ma:taxonomyFieldName="CorWebDocumentType" ma:displayName="CorWebDocumentType" ma:readOnly="false" ma:fieldId="{29c63043-b99c-4a58-94a9-269a78701935}" ma:sspId="d1006d82-5974-43a7-860a-b70f03cb978a" ma:termSetId="e14528de-6b2c-4ec3-a6f2-5dbd321a991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1929d2-5c93-407e-a9a3-a3f675aae9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09a8400-d62d-4074-a053-e1ac4302f3e0}" ma:internalName="TaxCatchAll" ma:showField="CatchAllData" ma:web="d2feb5e8-54ea-4301-8503-2a9f1f8c474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09a8400-d62d-4074-a053-e1ac4302f3e0}" ma:internalName="TaxCatchAllLabel" ma:readOnly="true" ma:showField="CatchAllDataLabel" ma:web="d2feb5e8-54ea-4301-8503-2a9f1f8c4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86E0A-2B43-462D-ADA7-436927F20628}"/>
</file>

<file path=customXml/itemProps2.xml><?xml version="1.0" encoding="utf-8"?>
<ds:datastoreItem xmlns:ds="http://schemas.openxmlformats.org/officeDocument/2006/customXml" ds:itemID="{6B771C03-5568-4C22-9E55-30789D62BFD2}"/>
</file>

<file path=customXml/itemProps3.xml><?xml version="1.0" encoding="utf-8"?>
<ds:datastoreItem xmlns:ds="http://schemas.openxmlformats.org/officeDocument/2006/customXml" ds:itemID="{25D45154-674D-4E47-90FD-444C53E107F6}"/>
</file>

<file path=docProps/app.xml><?xml version="1.0" encoding="utf-8"?>
<Properties xmlns="http://schemas.openxmlformats.org/officeDocument/2006/extended-properties" xmlns:vt="http://schemas.openxmlformats.org/officeDocument/2006/docPropsVTypes">
  <Template>Offerta tecnica1</Template>
  <TotalTime>0</TotalTime>
  <Pages>33</Pages>
  <Words>7793</Words>
  <Characters>-32766</Characters>
  <Application>Microsoft Office Outlook</Application>
  <DocSecurity>0</DocSecurity>
  <Lines>0</Lines>
  <Paragraphs>0</Paragraphs>
  <ScaleCrop>false</ScaleCrop>
  <Company>Prepared by: t33 snc.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EU procurement legislation</dc:title>
  <dc:subject>Matters of concern for LRA and potential subsidiarity issues Order No. 3664 for Framework contract CDR/ETU/10/2011</dc:subject>
  <dc:creator>Parul</dc:creator>
  <cp:keywords/>
  <dc:description/>
  <cp:lastModifiedBy>Céline Chateau</cp:lastModifiedBy>
  <cp:revision>2</cp:revision>
  <cp:lastPrinted>2012-02-02T10:13:00Z</cp:lastPrinted>
  <dcterms:created xsi:type="dcterms:W3CDTF">2012-02-02T11:01:00Z</dcterms:created>
  <dcterms:modified xsi:type="dcterms:W3CDTF">2012-02-02T11:01:00Z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0x0101001C1CB03CB74147F893AE75230A56A05B003E2F6ABCD9C84B42B8E711B7D4276FDE</vt:lpwstr>
  </property>
  <property fmtid="{D5CDD505-2E9C-101B-9397-08002B2CF9AE}" pid="3" name="TaxCatchAll">
    <vt:lpwstr>105;#N/A|9e2a7271-b294-480b-a81c-34d7a2bd92c4;#104;#English|5d808a89-daf8-4cf5-a324-d79ff5c66bdd</vt:lpwstr>
  </property>
  <property fmtid="{D5CDD505-2E9C-101B-9397-08002B2CF9AE}" pid="4" name="CorWebTheme">
    <vt:lpwstr/>
  </property>
  <property fmtid="{D5CDD505-2E9C-101B-9397-08002B2CF9AE}" pid="5" name="CorWebLanguage">
    <vt:lpwstr>104;#English|5d808a89-daf8-4cf5-a324-d79ff5c66bdd</vt:lpwstr>
  </property>
  <property fmtid="{D5CDD505-2E9C-101B-9397-08002B2CF9AE}" pid="6" name="CorWebKeywords">
    <vt:lpwstr>105;#N/A|9e2a7271-b294-480b-a81c-34d7a2bd92c4</vt:lpwstr>
  </property>
</Properties>
</file>